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styles.xml" ContentType="application/vnd.openxmlformats-officedocument.wordprocessingml.styles+xml"/>
  <Override PartName="/word/footnotes.xml" ContentType="application/vnd.openxmlformats-officedocument.wordprocessingml.footnotes+xml"/>
  <Override PartName="/word/numbering.xml" ContentType="application/vnd.openxmlformats-officedocument.wordprocessingml.numbering+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17.odttf" ContentType="application/vnd.openxmlformats-officedocument.obfuscatedFont"/>
  <Override PartName="/word/fonts/font18.odttf" ContentType="application/vnd.openxmlformats-officedocument.obfuscatedFont"/>
  <Override PartName="/word/fonts/font19.odttf" ContentType="application/vnd.openxmlformats-officedocument.obfuscatedFont"/>
  <Override PartName="/word/fonts/font20.odttf" ContentType="application/vnd.openxmlformats-officedocument.obfuscatedFont"/>
  <Override PartName="/word/fonts/font21.odttf" ContentType="application/vnd.openxmlformats-officedocument.obfuscatedFont"/>
  <Override PartName="/word/fonts/font22.odttf" ContentType="application/vnd.openxmlformats-officedocument.obfuscatedFont"/>
  <Override PartName="/word/fonts/font23.odttf" ContentType="application/vnd.openxmlformats-officedocument.obfuscatedFont"/>
  <Override PartName="/word/fonts/font24.odttf" ContentType="application/vnd.openxmlformats-officedocument.obfuscatedFont"/>
  <Override PartName="/word/fonts/font25.odttf" ContentType="application/vnd.openxmlformats-officedocument.obfuscatedFont"/>
  <Override PartName="/word/fonts/font26.odttf" ContentType="application/vnd.openxmlformats-officedocument.obfuscatedFont"/>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word/_rels/fontTable.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jc w:val="center"/>
        <w:rPr>
          <w:rFonts w:ascii="Times New Roman" w:hAnsi="Times New Roman" w:cs="Times New Roman"/>
          <w:b/>
          <w:b/>
          <w:sz w:val="24"/>
          <w:szCs w:val="24"/>
        </w:rPr>
      </w:pPr>
      <w:r>
        <w:rPr>
          <w:rFonts w:cs="Times New Roman" w:ascii="Times New Roman" w:hAnsi="Times New Roman"/>
          <w:b/>
          <w:sz w:val="24"/>
          <w:szCs w:val="24"/>
        </w:rPr>
        <w:t xml:space="preserve">Пројектни задатак за израду </w:t>
      </w:r>
    </w:p>
    <w:p>
      <w:pPr>
        <w:pStyle w:val="Normal"/>
        <w:jc w:val="center"/>
        <w:rPr>
          <w:rFonts w:ascii="Times New Roman" w:hAnsi="Times New Roman" w:cs="Times New Roman"/>
          <w:b/>
          <w:b/>
          <w:sz w:val="24"/>
          <w:szCs w:val="24"/>
        </w:rPr>
      </w:pPr>
      <w:r>
        <w:rPr>
          <w:rFonts w:cs="Times New Roman" w:ascii="Times New Roman" w:hAnsi="Times New Roman"/>
          <w:b/>
          <w:sz w:val="24"/>
          <w:szCs w:val="24"/>
        </w:rPr>
        <w:t xml:space="preserve">Територијалног маркетинг </w:t>
      </w:r>
      <w:r>
        <w:rPr>
          <w:rFonts w:cs="Times New Roman" w:ascii="Times New Roman" w:hAnsi="Times New Roman"/>
          <w:b/>
          <w:sz w:val="24"/>
          <w:szCs w:val="24"/>
          <w:lang w:val="sr-RS"/>
        </w:rPr>
        <w:t>плана</w:t>
      </w:r>
      <w:r>
        <w:rPr>
          <w:rFonts w:cs="Times New Roman" w:ascii="Times New Roman" w:hAnsi="Times New Roman"/>
          <w:b/>
          <w:sz w:val="24"/>
          <w:szCs w:val="24"/>
        </w:rPr>
        <w:t xml:space="preserve"> урбаног подручја града Зајечара и општина Књажевац, Сокобања и Бољевац за период 2026 - 2028</w:t>
      </w:r>
    </w:p>
    <w:p>
      <w:pPr>
        <w:pStyle w:val="Normal"/>
        <w:jc w:val="both"/>
        <w:rPr>
          <w:rFonts w:ascii="Times New Roman" w:hAnsi="Times New Roman" w:cs="Times New Roman"/>
          <w:sz w:val="24"/>
          <w:szCs w:val="24"/>
        </w:rPr>
      </w:pPr>
      <w:r>
        <w:rPr>
          <w:rFonts w:cs="Times New Roman" w:ascii="Times New Roman" w:hAnsi="Times New Roman"/>
          <w:sz w:val="24"/>
          <w:szCs w:val="24"/>
        </w:rPr>
      </w:r>
      <w:bookmarkStart w:id="0" w:name="_GoBack"/>
      <w:bookmarkStart w:id="1" w:name="_GoBack"/>
      <w:bookmarkEnd w:id="1"/>
    </w:p>
    <w:p>
      <w:pPr>
        <w:pStyle w:val="Normal"/>
        <w:jc w:val="both"/>
        <w:rPr>
          <w:rFonts w:ascii="Times New Roman" w:hAnsi="Times New Roman" w:cs="Times New Roman"/>
          <w:sz w:val="24"/>
          <w:szCs w:val="24"/>
        </w:rPr>
      </w:pPr>
      <w:r>
        <w:rPr>
          <w:rFonts w:cs="Times New Roman" w:ascii="Times New Roman" w:hAnsi="Times New Roman"/>
          <w:sz w:val="24"/>
          <w:szCs w:val="24"/>
        </w:rPr>
        <w:t xml:space="preserve">У циљу креирања јединственог територијалног идентитета и бренда Урбаног подручја, потребно је израдити План територијалног маркетинга са визуелним идентитетом и комуникационим планом урбаног подручја. </w:t>
      </w:r>
    </w:p>
    <w:p>
      <w:pPr>
        <w:pStyle w:val="Normal"/>
        <w:jc w:val="both"/>
        <w:rPr>
          <w:rFonts w:ascii="Times New Roman" w:hAnsi="Times New Roman" w:cs="Times New Roman"/>
          <w:sz w:val="24"/>
          <w:szCs w:val="24"/>
        </w:rPr>
      </w:pPr>
      <w:r>
        <w:rPr>
          <w:rFonts w:cs="Times New Roman" w:ascii="Times New Roman" w:hAnsi="Times New Roman"/>
          <w:sz w:val="24"/>
          <w:szCs w:val="24"/>
        </w:rPr>
        <w:t xml:space="preserve">Територијални маркетинг треба да омогући  дефинисаној територији да се позиционира на националном и међународном нивоу, пројектујући снажну и атрактивну слику уз коришћење предности које регион има. Стварајући јединствени идентитет и имиџа територије базиран на јединстености уз уважавање и промоцију економских, друштвених, екоколошких и културних вредности и потенцијала територије ствара се основа за одрживи развој и развој одрживог туризма. </w:t>
      </w:r>
    </w:p>
    <w:p>
      <w:pPr>
        <w:pStyle w:val="Normal"/>
        <w:jc w:val="both"/>
        <w:rPr>
          <w:rFonts w:ascii="Times New Roman" w:hAnsi="Times New Roman" w:cs="Times New Roman"/>
          <w:sz w:val="24"/>
          <w:szCs w:val="24"/>
        </w:rPr>
      </w:pPr>
      <w:r>
        <w:rPr>
          <w:rFonts w:cs="Times New Roman" w:ascii="Times New Roman" w:hAnsi="Times New Roman"/>
          <w:sz w:val="24"/>
          <w:szCs w:val="24"/>
        </w:rPr>
        <w:t>Циљ територијалног маркетинга, поред раста броја туриста у региону, јесте економски развој у целини, који поред промоције региона као атрактивне дестинације за инвестиције, туризам и квалитетан живот, доприноси и стварању осећаја припадности чланова локалне заједнице кроз активно укључивање свих њених заинтересованих чланова/ница, укључујући ту и приватни и цивилни сектор.</w:t>
      </w:r>
      <w:r>
        <w:rPr>
          <w:rStyle w:val="FootnoteAnchor"/>
          <w:rFonts w:cs="Times New Roman" w:ascii="Times New Roman" w:hAnsi="Times New Roman"/>
          <w:sz w:val="24"/>
          <w:szCs w:val="24"/>
          <w:vertAlign w:val="superscript"/>
        </w:rPr>
        <w:footnoteReference w:id="2"/>
      </w:r>
    </w:p>
    <w:p>
      <w:pPr>
        <w:pStyle w:val="Normal"/>
        <w:jc w:val="both"/>
        <w:rPr>
          <w:rFonts w:ascii="Times New Roman" w:hAnsi="Times New Roman" w:cs="Times New Roman"/>
          <w:b/>
          <w:b/>
          <w:sz w:val="24"/>
          <w:szCs w:val="24"/>
        </w:rPr>
      </w:pPr>
      <w:r>
        <w:rPr>
          <w:rFonts w:cs="Times New Roman" w:ascii="Times New Roman" w:hAnsi="Times New Roman"/>
          <w:sz w:val="24"/>
          <w:szCs w:val="24"/>
        </w:rPr>
        <w:t xml:space="preserve">Пружалац услуге у обавези је да изради План територијалног маркетинга урбаног подручја града Зајечара и општина Књажевац, Сокобања и Бољевац, као и план спровођења у складу са </w:t>
      </w:r>
      <w:r>
        <w:rPr>
          <w:rFonts w:cs="Times New Roman" w:ascii="Times New Roman" w:hAnsi="Times New Roman"/>
          <w:b/>
          <w:sz w:val="24"/>
          <w:szCs w:val="24"/>
        </w:rPr>
        <w:t>принципима транспарентности, партиципативности и поштовања принципа родне равноправности.</w:t>
      </w:r>
    </w:p>
    <w:p>
      <w:pPr>
        <w:pStyle w:val="Normal"/>
        <w:jc w:val="both"/>
        <w:rPr>
          <w:rFonts w:ascii="Times New Roman" w:hAnsi="Times New Roman" w:cs="Times New Roman"/>
          <w:sz w:val="24"/>
          <w:szCs w:val="24"/>
        </w:rPr>
      </w:pPr>
      <w:r>
        <w:rPr>
          <w:rFonts w:cs="Times New Roman" w:ascii="Times New Roman" w:hAnsi="Times New Roman"/>
          <w:sz w:val="24"/>
          <w:szCs w:val="24"/>
        </w:rPr>
        <w:t>Од Пружоца услуга се очекује да уради План територијалног маркетинга којa ће садржати минимум:</w:t>
      </w:r>
    </w:p>
    <w:p>
      <w:pPr>
        <w:pStyle w:val="Normal"/>
        <w:numPr>
          <w:ilvl w:val="0"/>
          <w:numId w:val="1"/>
        </w:numPr>
        <w:pBdr/>
        <w:spacing w:before="0" w:after="0"/>
        <w:jc w:val="both"/>
        <w:rPr>
          <w:rFonts w:ascii="Times New Roman" w:hAnsi="Times New Roman" w:cs="Times New Roman"/>
          <w:color w:val="000000"/>
          <w:sz w:val="24"/>
          <w:szCs w:val="24"/>
        </w:rPr>
      </w:pPr>
      <w:r>
        <w:rPr>
          <w:rFonts w:cs="Times New Roman" w:ascii="Times New Roman" w:hAnsi="Times New Roman"/>
          <w:b/>
          <w:color w:val="000000"/>
          <w:sz w:val="24"/>
          <w:szCs w:val="24"/>
        </w:rPr>
        <w:t>Анализу постојећег стања урбаног подручја и идентификацију кључних појмова, локалитета, активности</w:t>
      </w:r>
      <w:r>
        <w:rPr>
          <w:rFonts w:cs="Times New Roman" w:ascii="Times New Roman" w:hAnsi="Times New Roman"/>
          <w:color w:val="000000"/>
          <w:sz w:val="24"/>
          <w:szCs w:val="24"/>
        </w:rPr>
        <w:t xml:space="preserve"> и сл. по којима је регион препознатљив, анализирајући сваку општину и регион у целини, као и актере које треба укључити </w:t>
      </w:r>
    </w:p>
    <w:p>
      <w:pPr>
        <w:pStyle w:val="Normal"/>
        <w:numPr>
          <w:ilvl w:val="0"/>
          <w:numId w:val="1"/>
        </w:numPr>
        <w:pBdr/>
        <w:spacing w:before="0" w:after="0"/>
        <w:jc w:val="both"/>
        <w:rPr>
          <w:rFonts w:ascii="Times New Roman" w:hAnsi="Times New Roman" w:cs="Times New Roman"/>
          <w:color w:val="000000"/>
          <w:sz w:val="24"/>
          <w:szCs w:val="24"/>
        </w:rPr>
      </w:pPr>
      <w:r>
        <w:rPr>
          <w:rFonts w:cs="Times New Roman" w:ascii="Times New Roman" w:hAnsi="Times New Roman"/>
          <w:b/>
          <w:color w:val="000000"/>
          <w:sz w:val="24"/>
          <w:szCs w:val="24"/>
        </w:rPr>
        <w:t>Дефинисање главних потреба и одређивање приоритета</w:t>
      </w:r>
      <w:r>
        <w:rPr>
          <w:rFonts w:cs="Times New Roman" w:ascii="Times New Roman" w:hAnsi="Times New Roman"/>
          <w:color w:val="000000"/>
          <w:sz w:val="24"/>
          <w:szCs w:val="24"/>
        </w:rPr>
        <w:t xml:space="preserve"> (радионица са идентификованим актерима у свакој општини + онлајн анкета за одређивање приоритета, радионице ће водити ангажовани експерти који креирају и анализирају онлајн анкету)</w:t>
      </w:r>
    </w:p>
    <w:p>
      <w:pPr>
        <w:pStyle w:val="Normal"/>
        <w:numPr>
          <w:ilvl w:val="0"/>
          <w:numId w:val="1"/>
        </w:numPr>
        <w:pBdr/>
        <w:spacing w:before="0" w:after="0"/>
        <w:jc w:val="both"/>
        <w:rPr>
          <w:rFonts w:ascii="Times New Roman" w:hAnsi="Times New Roman" w:cs="Times New Roman"/>
          <w:color w:val="000000"/>
          <w:sz w:val="24"/>
          <w:szCs w:val="24"/>
        </w:rPr>
      </w:pPr>
      <w:r>
        <w:rPr>
          <w:rFonts w:cs="Times New Roman" w:ascii="Times New Roman" w:hAnsi="Times New Roman"/>
          <w:b/>
          <w:color w:val="000000"/>
          <w:sz w:val="24"/>
          <w:szCs w:val="24"/>
        </w:rPr>
        <w:t>Креирање визије за препознавање региона</w:t>
      </w:r>
      <w:r>
        <w:rPr>
          <w:rFonts w:cs="Times New Roman" w:ascii="Times New Roman" w:hAnsi="Times New Roman"/>
          <w:color w:val="000000"/>
          <w:sz w:val="24"/>
          <w:szCs w:val="24"/>
        </w:rPr>
        <w:t xml:space="preserve"> (ради се кроз он-лине радионице са идентификованим актерима у свакој ЈЛС + он-лине анкета за селекцију. Он-лине радионице воде експерти који креирају и анализирају он-лине анкету.)</w:t>
      </w:r>
    </w:p>
    <w:p>
      <w:pPr>
        <w:pStyle w:val="Normal"/>
        <w:numPr>
          <w:ilvl w:val="0"/>
          <w:numId w:val="1"/>
        </w:numPr>
        <w:pBdr/>
        <w:spacing w:before="0" w:after="0"/>
        <w:jc w:val="both"/>
        <w:rPr>
          <w:rFonts w:ascii="Times New Roman" w:hAnsi="Times New Roman" w:cs="Times New Roman"/>
          <w:b/>
          <w:b/>
          <w:color w:val="000000"/>
          <w:sz w:val="24"/>
          <w:szCs w:val="24"/>
        </w:rPr>
      </w:pPr>
      <w:r>
        <w:rPr>
          <w:rFonts w:cs="Times New Roman" w:ascii="Times New Roman" w:hAnsi="Times New Roman"/>
          <w:b/>
          <w:color w:val="000000"/>
          <w:sz w:val="24"/>
          <w:szCs w:val="24"/>
        </w:rPr>
        <w:t xml:space="preserve">Идентификацију циљних група, стратешких циљева, мера и активности </w:t>
      </w:r>
    </w:p>
    <w:p>
      <w:pPr>
        <w:pStyle w:val="Normal"/>
        <w:numPr>
          <w:ilvl w:val="0"/>
          <w:numId w:val="1"/>
        </w:numPr>
        <w:pBdr/>
        <w:spacing w:before="0" w:after="0"/>
        <w:jc w:val="both"/>
        <w:rPr>
          <w:rFonts w:ascii="Times New Roman" w:hAnsi="Times New Roman" w:cs="Times New Roman"/>
          <w:color w:val="000000"/>
          <w:sz w:val="24"/>
          <w:szCs w:val="24"/>
        </w:rPr>
      </w:pPr>
      <w:r>
        <w:rPr>
          <w:rFonts w:cs="Times New Roman" w:ascii="Times New Roman" w:hAnsi="Times New Roman"/>
          <w:b/>
          <w:color w:val="000000"/>
          <w:sz w:val="24"/>
          <w:szCs w:val="24"/>
        </w:rPr>
        <w:t>Креирање визуелног идентитета региона</w:t>
      </w:r>
      <w:r>
        <w:rPr>
          <w:rFonts w:cs="Times New Roman" w:ascii="Times New Roman" w:hAnsi="Times New Roman"/>
          <w:color w:val="000000"/>
          <w:sz w:val="24"/>
          <w:szCs w:val="24"/>
        </w:rPr>
        <w:t xml:space="preserve"> - слоган, лого и сл...   </w:t>
      </w:r>
    </w:p>
    <w:p>
      <w:pPr>
        <w:pStyle w:val="Normal"/>
        <w:numPr>
          <w:ilvl w:val="0"/>
          <w:numId w:val="1"/>
        </w:numPr>
        <w:pBdr/>
        <w:jc w:val="both"/>
        <w:rPr>
          <w:rFonts w:ascii="Times New Roman" w:hAnsi="Times New Roman" w:cs="Times New Roman"/>
          <w:color w:val="000000"/>
          <w:sz w:val="24"/>
          <w:szCs w:val="24"/>
        </w:rPr>
      </w:pPr>
      <w:r>
        <w:rPr>
          <w:rFonts w:cs="Times New Roman" w:ascii="Times New Roman" w:hAnsi="Times New Roman"/>
          <w:color w:val="000000"/>
          <w:sz w:val="24"/>
          <w:szCs w:val="24"/>
        </w:rPr>
        <w:t>К</w:t>
      </w:r>
      <w:r>
        <w:rPr>
          <w:rFonts w:cs="Times New Roman" w:ascii="Times New Roman" w:hAnsi="Times New Roman"/>
          <w:b/>
          <w:color w:val="000000"/>
          <w:sz w:val="24"/>
          <w:szCs w:val="24"/>
        </w:rPr>
        <w:t>омуникациони план за период од 3 године</w:t>
      </w:r>
      <w:r>
        <w:rPr>
          <w:rFonts w:cs="Times New Roman" w:ascii="Times New Roman" w:hAnsi="Times New Roman"/>
          <w:color w:val="000000"/>
          <w:sz w:val="24"/>
          <w:szCs w:val="24"/>
        </w:rPr>
        <w:t xml:space="preserve"> са припадајућим буџетом за реализацију свих предложених активности</w:t>
      </w:r>
    </w:p>
    <w:p>
      <w:pPr>
        <w:pStyle w:val="Normal"/>
        <w:jc w:val="both"/>
        <w:rPr>
          <w:rFonts w:ascii="Times New Roman" w:hAnsi="Times New Roman" w:cs="Times New Roman"/>
          <w:b/>
          <w:b/>
          <w:sz w:val="24"/>
          <w:szCs w:val="24"/>
        </w:rPr>
      </w:pPr>
      <w:r>
        <w:rPr>
          <w:rFonts w:cs="Times New Roman" w:ascii="Times New Roman" w:hAnsi="Times New Roman"/>
          <w:b/>
          <w:sz w:val="24"/>
          <w:szCs w:val="24"/>
        </w:rPr>
      </w:r>
    </w:p>
    <w:p>
      <w:pPr>
        <w:pStyle w:val="Normal"/>
        <w:jc w:val="both"/>
        <w:rPr>
          <w:rFonts w:ascii="Times New Roman" w:hAnsi="Times New Roman" w:cs="Times New Roman"/>
          <w:b/>
          <w:b/>
          <w:sz w:val="24"/>
          <w:szCs w:val="24"/>
        </w:rPr>
      </w:pPr>
      <w:r>
        <w:rPr>
          <w:rFonts w:cs="Times New Roman" w:ascii="Times New Roman" w:hAnsi="Times New Roman"/>
          <w:b/>
          <w:sz w:val="24"/>
          <w:szCs w:val="24"/>
        </w:rPr>
        <w:t>Аналитичка основа</w:t>
      </w:r>
    </w:p>
    <w:p>
      <w:pPr>
        <w:pStyle w:val="Normal"/>
        <w:jc w:val="both"/>
        <w:rPr>
          <w:rFonts w:ascii="Times New Roman" w:hAnsi="Times New Roman" w:cs="Times New Roman"/>
          <w:sz w:val="24"/>
          <w:szCs w:val="24"/>
        </w:rPr>
      </w:pPr>
      <w:r>
        <w:rPr>
          <w:rFonts w:cs="Times New Roman" w:ascii="Times New Roman" w:hAnsi="Times New Roman"/>
          <w:b/>
          <w:sz w:val="24"/>
          <w:szCs w:val="24"/>
        </w:rPr>
        <w:t>П</w:t>
      </w:r>
      <w:r>
        <w:rPr>
          <w:rFonts w:cs="Times New Roman" w:ascii="Times New Roman" w:hAnsi="Times New Roman"/>
          <w:b/>
          <w:sz w:val="24"/>
          <w:szCs w:val="24"/>
          <w:lang w:val="sr-RS"/>
        </w:rPr>
        <w:t>лан</w:t>
      </w:r>
      <w:r>
        <w:rPr>
          <w:rFonts w:cs="Times New Roman" w:ascii="Times New Roman" w:hAnsi="Times New Roman"/>
          <w:b/>
          <w:sz w:val="24"/>
          <w:szCs w:val="24"/>
        </w:rPr>
        <w:t xml:space="preserve"> територијалног маркетинга је потребно урадити у складу са Стратегијом развоја урбаног подручја Града Зајечара и општина Бољевац, Књажевац и Сокобања, користећи партиципативни приступ, принципе транспарентности и родне равноправности. </w:t>
      </w:r>
    </w:p>
    <w:p>
      <w:pPr>
        <w:pStyle w:val="Normal"/>
        <w:jc w:val="both"/>
        <w:rPr>
          <w:rFonts w:ascii="Times New Roman" w:hAnsi="Times New Roman" w:cs="Times New Roman"/>
          <w:b/>
          <w:b/>
          <w:sz w:val="24"/>
          <w:szCs w:val="24"/>
        </w:rPr>
      </w:pPr>
      <w:r>
        <w:rPr>
          <w:rFonts w:cs="Times New Roman" w:ascii="Times New Roman" w:hAnsi="Times New Roman"/>
          <w:b/>
          <w:sz w:val="24"/>
          <w:szCs w:val="24"/>
        </w:rPr>
        <w:t>(</w:t>
      </w:r>
      <w:hyperlink r:id="rId2">
        <w:r>
          <w:rPr>
            <w:rFonts w:cs="Times New Roman" w:ascii="Times New Roman" w:hAnsi="Times New Roman"/>
            <w:b/>
            <w:color w:val="0000FF"/>
            <w:sz w:val="24"/>
            <w:szCs w:val="24"/>
            <w:u w:val="single"/>
          </w:rPr>
          <w:t>http://www.zajecar.info/index.php/strategija-razvoja-urbanog-podrucja-grada-zajecara-i-opstina-knjazevac-boljevac-i-sokobanja</w:t>
        </w:r>
      </w:hyperlink>
      <w:r>
        <w:rPr>
          <w:rFonts w:cs="Times New Roman" w:ascii="Times New Roman" w:hAnsi="Times New Roman"/>
          <w:b/>
          <w:sz w:val="24"/>
          <w:szCs w:val="24"/>
        </w:rPr>
        <w:t xml:space="preserve"> )</w:t>
      </w:r>
    </w:p>
    <w:p>
      <w:pPr>
        <w:pStyle w:val="Normal"/>
        <w:jc w:val="both"/>
        <w:rPr>
          <w:rFonts w:ascii="Times New Roman" w:hAnsi="Times New Roman" w:cs="Times New Roman"/>
          <w:sz w:val="24"/>
          <w:szCs w:val="24"/>
        </w:rPr>
      </w:pPr>
      <w:r>
        <w:rPr>
          <w:rFonts w:cs="Times New Roman" w:ascii="Times New Roman" w:hAnsi="Times New Roman"/>
          <w:sz w:val="24"/>
          <w:szCs w:val="24"/>
        </w:rPr>
        <w:t xml:space="preserve">Такође, </w:t>
      </w:r>
      <w:r>
        <w:rPr>
          <w:rFonts w:cs="Times New Roman" w:ascii="Times New Roman" w:hAnsi="Times New Roman"/>
          <w:sz w:val="24"/>
          <w:szCs w:val="24"/>
          <w:lang w:val="sr-RS"/>
        </w:rPr>
        <w:t>М</w:t>
      </w:r>
      <w:r>
        <w:rPr>
          <w:rFonts w:cs="Times New Roman" w:ascii="Times New Roman" w:hAnsi="Times New Roman"/>
          <w:sz w:val="24"/>
          <w:szCs w:val="24"/>
        </w:rPr>
        <w:t>аркетинг п</w:t>
      </w:r>
      <w:r>
        <w:rPr>
          <w:rFonts w:cs="Times New Roman" w:ascii="Times New Roman" w:hAnsi="Times New Roman"/>
          <w:sz w:val="24"/>
          <w:szCs w:val="24"/>
          <w:lang w:val="sr-RS"/>
        </w:rPr>
        <w:t>лан</w:t>
      </w:r>
      <w:r>
        <w:rPr>
          <w:rFonts w:cs="Times New Roman" w:ascii="Times New Roman" w:hAnsi="Times New Roman"/>
          <w:sz w:val="24"/>
          <w:szCs w:val="24"/>
        </w:rPr>
        <w:t xml:space="preserve"> треба да буде усаглашен са осталим развојним документима ЈЛС урбане регије, као и релевантним стратешким документима на националном нивоу.</w:t>
      </w:r>
    </w:p>
    <w:p>
      <w:pPr>
        <w:pStyle w:val="Normal"/>
        <w:jc w:val="both"/>
        <w:rPr>
          <w:rFonts w:ascii="Times New Roman" w:hAnsi="Times New Roman" w:cs="Times New Roman"/>
          <w:b/>
          <w:b/>
          <w:sz w:val="24"/>
          <w:szCs w:val="24"/>
        </w:rPr>
      </w:pPr>
      <w:r>
        <w:rPr>
          <w:rFonts w:cs="Times New Roman" w:ascii="Times New Roman" w:hAnsi="Times New Roman"/>
          <w:b/>
          <w:sz w:val="24"/>
          <w:szCs w:val="24"/>
        </w:rPr>
        <w:t>ОБИМ АНГАЖМАНА</w:t>
      </w:r>
    </w:p>
    <w:p>
      <w:pPr>
        <w:pStyle w:val="Normal"/>
        <w:jc w:val="both"/>
        <w:rPr>
          <w:rFonts w:ascii="Times New Roman" w:hAnsi="Times New Roman" w:cs="Times New Roman"/>
          <w:sz w:val="24"/>
          <w:szCs w:val="24"/>
        </w:rPr>
      </w:pPr>
      <w:r>
        <w:rPr>
          <w:rFonts w:cs="Times New Roman" w:ascii="Times New Roman" w:hAnsi="Times New Roman"/>
          <w:sz w:val="24"/>
          <w:szCs w:val="24"/>
        </w:rPr>
        <w:t>П</w:t>
      </w:r>
      <w:r>
        <w:rPr>
          <w:rFonts w:cs="Times New Roman" w:ascii="Times New Roman" w:hAnsi="Times New Roman"/>
          <w:sz w:val="24"/>
          <w:szCs w:val="24"/>
          <w:lang w:val="sr-RS"/>
        </w:rPr>
        <w:t>лан</w:t>
      </w:r>
      <w:r>
        <w:rPr>
          <w:rFonts w:cs="Times New Roman" w:ascii="Times New Roman" w:hAnsi="Times New Roman"/>
          <w:sz w:val="24"/>
          <w:szCs w:val="24"/>
        </w:rPr>
        <w:t xml:space="preserve"> територијалног маркетинга урбаног подручја је потребно припремити кроз организацију минимум </w:t>
      </w:r>
      <w:r>
        <w:rPr>
          <w:rFonts w:cs="Times New Roman" w:ascii="Times New Roman" w:hAnsi="Times New Roman"/>
          <w:b/>
          <w:sz w:val="24"/>
          <w:szCs w:val="24"/>
        </w:rPr>
        <w:t>4 радионице које ће бити одржане у свакој ЈЛС (Сокобањи, Књажевцу, Бољевцу и Зајечару), 4 онлајн радионице и 1 јавну расправу</w:t>
      </w:r>
      <w:r>
        <w:rPr>
          <w:rFonts w:cs="Times New Roman" w:ascii="Times New Roman" w:hAnsi="Times New Roman"/>
          <w:sz w:val="24"/>
          <w:szCs w:val="24"/>
        </w:rPr>
        <w:t>. Простор за одржавање „</w:t>
      </w:r>
      <w:r>
        <w:rPr>
          <w:rFonts w:cs="Times New Roman" w:ascii="Times New Roman" w:hAnsi="Times New Roman"/>
          <w:i/>
          <w:sz w:val="24"/>
          <w:szCs w:val="24"/>
        </w:rPr>
        <w:t>in sity</w:t>
      </w:r>
      <w:r>
        <w:rPr>
          <w:rFonts w:cs="Times New Roman" w:ascii="Times New Roman" w:hAnsi="Times New Roman"/>
          <w:sz w:val="24"/>
          <w:szCs w:val="24"/>
        </w:rPr>
        <w:t xml:space="preserve">“ радионица обезбедиће Наручилац, као и позивање учесника. У циљу обезбеђивања што ширег броја учесника и већег степена консултативности Пружалац услуге је у обавези да креира  минимум онлајн анкете за одређивање приоритета и </w:t>
      </w:r>
      <w:r>
        <w:rPr>
          <w:rFonts w:cs="Times New Roman" w:ascii="Times New Roman" w:hAnsi="Times New Roman"/>
          <w:color w:val="2F1733"/>
          <w:sz w:val="24"/>
          <w:szCs w:val="24"/>
          <w:shd w:fill="FBF9F9" w:val="clear"/>
        </w:rPr>
        <w:t>утврђивање тренутне перцепције имиџа урбане регије</w:t>
      </w:r>
      <w:r>
        <w:rPr>
          <w:rFonts w:cs="Times New Roman" w:ascii="Times New Roman" w:hAnsi="Times New Roman"/>
          <w:sz w:val="24"/>
          <w:szCs w:val="24"/>
        </w:rPr>
        <w:t>, а може да предложи и друге алате за обезбеђење партиципативности и консултација на које Наручилац даје сагласност.</w:t>
      </w:r>
    </w:p>
    <w:p>
      <w:pPr>
        <w:pStyle w:val="Normal"/>
        <w:jc w:val="both"/>
        <w:rPr>
          <w:rFonts w:ascii="Times New Roman" w:hAnsi="Times New Roman" w:cs="Times New Roman"/>
          <w:sz w:val="24"/>
          <w:szCs w:val="24"/>
        </w:rPr>
      </w:pPr>
      <w:r>
        <w:rPr>
          <w:rFonts w:cs="Times New Roman" w:ascii="Times New Roman" w:hAnsi="Times New Roman"/>
          <w:sz w:val="24"/>
          <w:szCs w:val="24"/>
        </w:rPr>
        <w:t xml:space="preserve">Посебна пажња се мора усмерити на децу и младе, који ће се кроз школске ликовне конкурсе укључити у креирање визуелног идентитета. </w:t>
      </w:r>
    </w:p>
    <w:p>
      <w:pPr>
        <w:pStyle w:val="Normal"/>
        <w:jc w:val="both"/>
        <w:rPr>
          <w:rFonts w:ascii="Times New Roman" w:hAnsi="Times New Roman" w:cs="Times New Roman"/>
          <w:sz w:val="24"/>
          <w:szCs w:val="24"/>
        </w:rPr>
      </w:pPr>
      <w:r>
        <w:rPr>
          <w:rFonts w:cs="Times New Roman" w:ascii="Times New Roman" w:hAnsi="Times New Roman"/>
          <w:sz w:val="24"/>
          <w:szCs w:val="24"/>
        </w:rPr>
        <w:t>За креирање визуелног идентитета од пружаоца услуга се захтева да припреми текст конкурса како би Наручилац спровео такмичење у школама на територији Зајечарског округа</w:t>
      </w:r>
      <w:r>
        <w:rPr>
          <w:rFonts w:cs="Times New Roman" w:ascii="Times New Roman" w:hAnsi="Times New Roman"/>
          <w:sz w:val="24"/>
          <w:szCs w:val="24"/>
          <w:lang w:val="sr-RS"/>
        </w:rPr>
        <w:t xml:space="preserve">. Тему конкурса, трајање и начин одабира победника треба развити у консултацијама са Наручиоцем. </w:t>
      </w:r>
      <w:r>
        <w:rPr>
          <w:rFonts w:cs="Times New Roman" w:ascii="Times New Roman" w:hAnsi="Times New Roman"/>
          <w:sz w:val="24"/>
          <w:szCs w:val="24"/>
        </w:rPr>
        <w:t xml:space="preserve"> </w:t>
      </w:r>
      <w:r>
        <w:rPr>
          <w:rFonts w:cs="Times New Roman" w:ascii="Times New Roman" w:hAnsi="Times New Roman"/>
          <w:b/>
          <w:sz w:val="24"/>
          <w:szCs w:val="24"/>
        </w:rPr>
        <w:t>Наградни фонд од 2.000 евра</w:t>
      </w:r>
      <w:r>
        <w:rPr>
          <w:rFonts w:cs="Times New Roman" w:ascii="Times New Roman" w:hAnsi="Times New Roman"/>
          <w:b/>
          <w:sz w:val="24"/>
          <w:szCs w:val="24"/>
          <w:lang w:val="sr-RS"/>
        </w:rPr>
        <w:t xml:space="preserve"> п</w:t>
      </w:r>
      <w:r>
        <w:rPr>
          <w:rFonts w:cs="Times New Roman" w:ascii="Times New Roman" w:hAnsi="Times New Roman"/>
          <w:b/>
          <w:sz w:val="24"/>
          <w:szCs w:val="24"/>
        </w:rPr>
        <w:t>отенцијални понуђач треба да укалкулише у своју понуду</w:t>
      </w:r>
      <w:r>
        <w:rPr>
          <w:rFonts w:cs="Times New Roman" w:ascii="Times New Roman" w:hAnsi="Times New Roman"/>
          <w:sz w:val="24"/>
          <w:szCs w:val="24"/>
        </w:rPr>
        <w:t>, и након завршетка конкурса исплати школи – победнику конкурса. Комисију за одабир рада формираће Наручилац. Пружалац услуге мора да ангажује графичког дизајнера који ће графички обликовати одабрани рад у лого урбане територије. Очекује се минимум 3 понуђена графичка дизајна. Наручилац даје коначну сагласност</w:t>
      </w:r>
    </w:p>
    <w:p>
      <w:pPr>
        <w:pStyle w:val="Normal"/>
        <w:jc w:val="both"/>
        <w:rPr>
          <w:rFonts w:ascii="Times New Roman" w:hAnsi="Times New Roman" w:cs="Times New Roman"/>
          <w:sz w:val="24"/>
          <w:szCs w:val="24"/>
        </w:rPr>
      </w:pPr>
      <w:r>
        <w:rPr>
          <w:rFonts w:cs="Times New Roman" w:ascii="Times New Roman" w:hAnsi="Times New Roman"/>
          <w:b/>
          <w:sz w:val="24"/>
          <w:szCs w:val="24"/>
        </w:rPr>
        <w:t>Територијални маркетинг п</w:t>
      </w:r>
      <w:r>
        <w:rPr>
          <w:rFonts w:cs="Times New Roman" w:ascii="Times New Roman" w:hAnsi="Times New Roman"/>
          <w:b/>
          <w:sz w:val="24"/>
          <w:szCs w:val="24"/>
          <w:lang w:val="sr-RS"/>
        </w:rPr>
        <w:t>лан</w:t>
      </w:r>
      <w:r>
        <w:rPr>
          <w:rFonts w:cs="Times New Roman" w:ascii="Times New Roman" w:hAnsi="Times New Roman"/>
          <w:b/>
          <w:sz w:val="24"/>
          <w:szCs w:val="24"/>
        </w:rPr>
        <w:t xml:space="preserve"> урбаног подручја града Зајечара и општина Књажевац, Сокобања и Бољевац израђује се за период од 3 године.</w:t>
      </w:r>
    </w:p>
    <w:p>
      <w:pPr>
        <w:pStyle w:val="Normal"/>
        <w:jc w:val="both"/>
        <w:rPr>
          <w:rFonts w:ascii="Times New Roman" w:hAnsi="Times New Roman" w:cs="Times New Roman"/>
          <w:sz w:val="24"/>
          <w:szCs w:val="24"/>
        </w:rPr>
      </w:pPr>
      <w:r>
        <w:rPr>
          <w:rFonts w:cs="Times New Roman" w:ascii="Times New Roman" w:hAnsi="Times New Roman"/>
          <w:sz w:val="24"/>
          <w:szCs w:val="24"/>
        </w:rPr>
        <w:t>Оквирни предлог садржаја П</w:t>
      </w:r>
      <w:r>
        <w:rPr>
          <w:rFonts w:cs="Times New Roman" w:ascii="Times New Roman" w:hAnsi="Times New Roman"/>
          <w:sz w:val="24"/>
          <w:szCs w:val="24"/>
          <w:lang w:val="sr-RS"/>
        </w:rPr>
        <w:t>лан</w:t>
      </w:r>
      <w:r>
        <w:rPr>
          <w:rFonts w:cs="Times New Roman" w:ascii="Times New Roman" w:hAnsi="Times New Roman"/>
          <w:sz w:val="24"/>
          <w:szCs w:val="24"/>
        </w:rPr>
        <w:t xml:space="preserve"> територијалног маркетинга урбаног подручја:</w:t>
      </w:r>
    </w:p>
    <w:p>
      <w:pPr>
        <w:pStyle w:val="Normal"/>
        <w:numPr>
          <w:ilvl w:val="0"/>
          <w:numId w:val="2"/>
        </w:numPr>
        <w:pBdr/>
        <w:spacing w:before="0" w:after="0"/>
        <w:jc w:val="both"/>
        <w:rPr>
          <w:rFonts w:ascii="Times New Roman" w:hAnsi="Times New Roman" w:cs="Times New Roman"/>
          <w:color w:val="000000"/>
          <w:sz w:val="24"/>
          <w:szCs w:val="24"/>
        </w:rPr>
      </w:pPr>
      <w:r>
        <w:rPr>
          <w:rFonts w:cs="Times New Roman" w:ascii="Times New Roman" w:hAnsi="Times New Roman"/>
          <w:color w:val="000000"/>
          <w:sz w:val="24"/>
          <w:szCs w:val="24"/>
        </w:rPr>
        <w:t xml:space="preserve">Увод / Сажетак </w:t>
      </w:r>
      <w:r>
        <w:rPr>
          <w:rFonts w:cs="Times New Roman" w:ascii="Times New Roman" w:hAnsi="Times New Roman"/>
          <w:color w:val="000000"/>
          <w:sz w:val="24"/>
          <w:szCs w:val="24"/>
          <w:lang w:val="sr-RS"/>
        </w:rPr>
        <w:t>Плана</w:t>
      </w:r>
      <w:r>
        <w:rPr>
          <w:rFonts w:cs="Times New Roman" w:ascii="Times New Roman" w:hAnsi="Times New Roman"/>
          <w:color w:val="000000"/>
          <w:sz w:val="24"/>
          <w:szCs w:val="24"/>
        </w:rPr>
        <w:t xml:space="preserve"> територијалног маркетинга (опис територије, циљеви територијалног маркетинга и плана спровођења, кључне заинтересоване стране, очекивани резултати и утицаји)</w:t>
      </w:r>
    </w:p>
    <w:p>
      <w:pPr>
        <w:pStyle w:val="Normal"/>
        <w:numPr>
          <w:ilvl w:val="0"/>
          <w:numId w:val="2"/>
        </w:numPr>
        <w:pBdr/>
        <w:spacing w:before="0" w:after="0"/>
        <w:jc w:val="both"/>
        <w:rPr>
          <w:rFonts w:ascii="Times New Roman" w:hAnsi="Times New Roman" w:cs="Times New Roman"/>
          <w:color w:val="000000"/>
          <w:sz w:val="24"/>
          <w:szCs w:val="24"/>
        </w:rPr>
      </w:pPr>
      <w:r>
        <w:rPr>
          <w:rFonts w:cs="Times New Roman" w:ascii="Times New Roman" w:hAnsi="Times New Roman"/>
          <w:color w:val="000000"/>
          <w:sz w:val="24"/>
          <w:szCs w:val="24"/>
        </w:rPr>
        <w:t>Методологија</w:t>
      </w:r>
    </w:p>
    <w:p>
      <w:pPr>
        <w:pStyle w:val="Normal"/>
        <w:numPr>
          <w:ilvl w:val="0"/>
          <w:numId w:val="2"/>
        </w:numPr>
        <w:pBdr/>
        <w:spacing w:before="0" w:after="0"/>
        <w:jc w:val="both"/>
        <w:rPr>
          <w:rFonts w:ascii="Times New Roman" w:hAnsi="Times New Roman" w:cs="Times New Roman"/>
          <w:color w:val="000000"/>
          <w:sz w:val="24"/>
          <w:szCs w:val="24"/>
        </w:rPr>
      </w:pPr>
      <w:r>
        <w:rPr>
          <w:rFonts w:cs="Times New Roman" w:ascii="Times New Roman" w:hAnsi="Times New Roman"/>
          <w:color w:val="000000"/>
          <w:sz w:val="24"/>
          <w:szCs w:val="24"/>
        </w:rPr>
        <w:t xml:space="preserve">Ситуациона анализа </w:t>
      </w:r>
    </w:p>
    <w:p>
      <w:pPr>
        <w:pStyle w:val="Normal"/>
        <w:numPr>
          <w:ilvl w:val="1"/>
          <w:numId w:val="2"/>
        </w:numPr>
        <w:pBdr/>
        <w:spacing w:before="0" w:after="0"/>
        <w:jc w:val="both"/>
        <w:rPr>
          <w:rFonts w:ascii="Times New Roman" w:hAnsi="Times New Roman" w:cs="Times New Roman"/>
          <w:color w:val="000000"/>
          <w:sz w:val="24"/>
          <w:szCs w:val="24"/>
        </w:rPr>
      </w:pPr>
      <w:r>
        <w:rPr>
          <w:rFonts w:cs="Times New Roman" w:ascii="Times New Roman" w:hAnsi="Times New Roman"/>
          <w:color w:val="000000"/>
          <w:sz w:val="24"/>
          <w:szCs w:val="24"/>
        </w:rPr>
        <w:t xml:space="preserve">Профил урбаног подручја (постојећи маркетинг систем урбаног подручја- дефинисање учесника и њихова улога, анализа маркетинг активности и изграђеног бренда сваке ЈЛС и постојећих модела управљања маркетиншким активностима у урбаном подручју ) </w:t>
      </w:r>
    </w:p>
    <w:p>
      <w:pPr>
        <w:pStyle w:val="Normal"/>
        <w:numPr>
          <w:ilvl w:val="1"/>
          <w:numId w:val="2"/>
        </w:numPr>
        <w:pBdr/>
        <w:spacing w:before="0" w:after="0"/>
        <w:jc w:val="both"/>
        <w:rPr>
          <w:rFonts w:ascii="Times New Roman" w:hAnsi="Times New Roman" w:cs="Times New Roman"/>
          <w:color w:val="000000"/>
          <w:sz w:val="24"/>
          <w:szCs w:val="24"/>
        </w:rPr>
      </w:pPr>
      <w:r>
        <w:rPr>
          <w:rFonts w:cs="Times New Roman" w:ascii="Times New Roman" w:hAnsi="Times New Roman"/>
          <w:color w:val="000000"/>
          <w:sz w:val="24"/>
          <w:szCs w:val="24"/>
        </w:rPr>
        <w:t xml:space="preserve">SWОТ анализа </w:t>
      </w:r>
    </w:p>
    <w:p>
      <w:pPr>
        <w:pStyle w:val="Normal"/>
        <w:numPr>
          <w:ilvl w:val="1"/>
          <w:numId w:val="2"/>
        </w:numPr>
        <w:pBdr/>
        <w:spacing w:before="0" w:after="0"/>
        <w:jc w:val="both"/>
        <w:rPr>
          <w:rFonts w:ascii="Times New Roman" w:hAnsi="Times New Roman" w:cs="Times New Roman"/>
          <w:color w:val="000000"/>
          <w:sz w:val="24"/>
          <w:szCs w:val="24"/>
        </w:rPr>
      </w:pPr>
      <w:r>
        <w:rPr>
          <w:rFonts w:cs="Times New Roman" w:ascii="Times New Roman" w:hAnsi="Times New Roman"/>
          <w:color w:val="000000"/>
          <w:sz w:val="24"/>
          <w:szCs w:val="24"/>
        </w:rPr>
        <w:t xml:space="preserve">Тренутна перцепција имиџа урбане регије – анализа резултата анкете </w:t>
      </w:r>
    </w:p>
    <w:p>
      <w:pPr>
        <w:pStyle w:val="Normal"/>
        <w:numPr>
          <w:ilvl w:val="1"/>
          <w:numId w:val="2"/>
        </w:numPr>
        <w:pBdr/>
        <w:spacing w:before="0" w:after="0"/>
        <w:jc w:val="both"/>
        <w:rPr>
          <w:rFonts w:ascii="Times New Roman" w:hAnsi="Times New Roman" w:cs="Times New Roman"/>
          <w:color w:val="000000"/>
          <w:sz w:val="24"/>
          <w:szCs w:val="24"/>
        </w:rPr>
      </w:pPr>
      <w:r>
        <w:rPr>
          <w:rFonts w:cs="Times New Roman" w:ascii="Times New Roman" w:hAnsi="Times New Roman"/>
          <w:color w:val="000000"/>
          <w:sz w:val="24"/>
          <w:szCs w:val="24"/>
        </w:rPr>
        <w:t xml:space="preserve">Конкурентни </w:t>
      </w:r>
      <w:r>
        <w:rPr>
          <w:rFonts w:cs="Times New Roman" w:ascii="Times New Roman" w:hAnsi="Times New Roman"/>
          <w:i/>
          <w:color w:val="000000"/>
          <w:sz w:val="24"/>
          <w:szCs w:val="24"/>
        </w:rPr>
        <w:t>benchmarking</w:t>
      </w:r>
      <w:r>
        <w:rPr>
          <w:rFonts w:cs="Times New Roman" w:ascii="Times New Roman" w:hAnsi="Times New Roman"/>
          <w:color w:val="000000"/>
          <w:sz w:val="24"/>
          <w:szCs w:val="24"/>
        </w:rPr>
        <w:t xml:space="preserve"> ( упоређивање са сличним територијама, примери добре праксе и успешне приче са конкурентских дестинација)</w:t>
      </w:r>
    </w:p>
    <w:p>
      <w:pPr>
        <w:pStyle w:val="Normal"/>
        <w:numPr>
          <w:ilvl w:val="0"/>
          <w:numId w:val="2"/>
        </w:numPr>
        <w:pBdr/>
        <w:spacing w:before="0" w:after="0"/>
        <w:jc w:val="both"/>
        <w:rPr>
          <w:rFonts w:ascii="Times New Roman" w:hAnsi="Times New Roman" w:cs="Times New Roman"/>
          <w:color w:val="000000"/>
          <w:sz w:val="24"/>
          <w:szCs w:val="24"/>
        </w:rPr>
      </w:pPr>
      <w:r>
        <w:rPr>
          <w:rFonts w:cs="Times New Roman" w:ascii="Times New Roman" w:hAnsi="Times New Roman"/>
          <w:color w:val="000000"/>
          <w:sz w:val="24"/>
          <w:szCs w:val="24"/>
        </w:rPr>
        <w:t xml:space="preserve">Визија  </w:t>
      </w:r>
    </w:p>
    <w:p>
      <w:pPr>
        <w:pStyle w:val="Normal"/>
        <w:numPr>
          <w:ilvl w:val="0"/>
          <w:numId w:val="2"/>
        </w:numPr>
        <w:pBdr/>
        <w:spacing w:before="0" w:after="0"/>
        <w:jc w:val="both"/>
        <w:rPr>
          <w:rFonts w:ascii="Times New Roman" w:hAnsi="Times New Roman" w:cs="Times New Roman"/>
          <w:color w:val="000000"/>
          <w:sz w:val="24"/>
          <w:szCs w:val="24"/>
        </w:rPr>
      </w:pPr>
      <w:r>
        <w:rPr>
          <w:rFonts w:cs="Times New Roman" w:ascii="Times New Roman" w:hAnsi="Times New Roman"/>
          <w:color w:val="000000"/>
          <w:sz w:val="24"/>
          <w:szCs w:val="24"/>
        </w:rPr>
        <w:t>Стратешки циљеви и мере</w:t>
      </w:r>
    </w:p>
    <w:p>
      <w:pPr>
        <w:pStyle w:val="Normal"/>
        <w:numPr>
          <w:ilvl w:val="1"/>
          <w:numId w:val="2"/>
        </w:numPr>
        <w:pBdr/>
        <w:spacing w:before="0" w:after="0"/>
        <w:jc w:val="both"/>
        <w:rPr>
          <w:rFonts w:ascii="Times New Roman" w:hAnsi="Times New Roman" w:cs="Times New Roman"/>
          <w:color w:val="000000"/>
          <w:sz w:val="24"/>
          <w:szCs w:val="24"/>
        </w:rPr>
      </w:pPr>
      <w:r>
        <w:rPr>
          <w:rFonts w:cs="Times New Roman" w:ascii="Times New Roman" w:hAnsi="Times New Roman"/>
          <w:color w:val="000000"/>
          <w:sz w:val="24"/>
          <w:szCs w:val="24"/>
        </w:rPr>
        <w:t>Идентификација јединствених предности регије - кључни ресурси, природна богатства, културно наслеђе, инфраструктура, радна снага и сл. по којима је регион препознатљив, (анализирајући сваку општину и регион у целини)</w:t>
      </w:r>
    </w:p>
    <w:p>
      <w:pPr>
        <w:pStyle w:val="Normal"/>
        <w:numPr>
          <w:ilvl w:val="1"/>
          <w:numId w:val="2"/>
        </w:numPr>
        <w:pBdr/>
        <w:spacing w:before="0" w:after="0"/>
        <w:jc w:val="both"/>
        <w:rPr>
          <w:rFonts w:ascii="Times New Roman" w:hAnsi="Times New Roman" w:cs="Times New Roman"/>
          <w:color w:val="000000"/>
          <w:sz w:val="24"/>
          <w:szCs w:val="24"/>
        </w:rPr>
      </w:pPr>
      <w:r>
        <w:rPr>
          <w:rFonts w:cs="Times New Roman" w:ascii="Times New Roman" w:hAnsi="Times New Roman"/>
          <w:color w:val="000000"/>
          <w:sz w:val="24"/>
          <w:szCs w:val="24"/>
        </w:rPr>
        <w:t>Главне комуникационе потребе и приоритети ( нпр. Развој регионалне туристичке понуде, привлачење инвестиција, брендирање локалних производа, развој инфраструктуре (путеви, сигнализација, туристички центри), јавни транспорт, дигитализација и паметна решења и сл....)</w:t>
      </w:r>
    </w:p>
    <w:p>
      <w:pPr>
        <w:pStyle w:val="Normal"/>
        <w:numPr>
          <w:ilvl w:val="1"/>
          <w:numId w:val="2"/>
        </w:numPr>
        <w:pBdr/>
        <w:spacing w:before="0" w:after="0"/>
        <w:jc w:val="both"/>
        <w:rPr>
          <w:rFonts w:ascii="Times New Roman" w:hAnsi="Times New Roman" w:cs="Times New Roman"/>
          <w:color w:val="000000"/>
          <w:sz w:val="24"/>
          <w:szCs w:val="24"/>
        </w:rPr>
      </w:pPr>
      <w:r>
        <w:rPr>
          <w:rFonts w:cs="Times New Roman" w:ascii="Times New Roman" w:hAnsi="Times New Roman"/>
          <w:color w:val="000000"/>
          <w:sz w:val="24"/>
          <w:szCs w:val="24"/>
        </w:rPr>
        <w:t xml:space="preserve">Стратешки приоритети, мере и активности - Идентификација стратешких сектора (на пр </w:t>
      </w:r>
      <w:r>
        <w:rPr>
          <w:rFonts w:cs="Times New Roman" w:ascii="Times New Roman" w:hAnsi="Times New Roman"/>
          <w:color w:val="000000"/>
          <w:sz w:val="24"/>
          <w:szCs w:val="24"/>
          <w:lang w:val="sr-RS"/>
        </w:rPr>
        <w:t>туризам</w:t>
      </w:r>
      <w:r>
        <w:rPr>
          <w:rFonts w:cs="Times New Roman" w:ascii="Times New Roman" w:hAnsi="Times New Roman"/>
          <w:color w:val="000000"/>
          <w:sz w:val="24"/>
          <w:szCs w:val="24"/>
        </w:rPr>
        <w:t xml:space="preserve">, ИТ, </w:t>
      </w:r>
      <w:r>
        <w:rPr>
          <w:rFonts w:cs="Times New Roman" w:ascii="Times New Roman" w:hAnsi="Times New Roman"/>
          <w:color w:val="000000"/>
          <w:sz w:val="24"/>
          <w:szCs w:val="24"/>
          <w:lang w:val="sr-RS"/>
        </w:rPr>
        <w:t>пољопривреда и сл</w:t>
      </w:r>
      <w:r>
        <w:rPr>
          <w:rFonts w:cs="Times New Roman" w:ascii="Times New Roman" w:hAnsi="Times New Roman"/>
          <w:color w:val="000000"/>
          <w:sz w:val="24"/>
          <w:szCs w:val="24"/>
        </w:rPr>
        <w:t>)</w:t>
      </w:r>
      <w:r>
        <w:rPr>
          <w:rFonts w:cs="Times New Roman" w:ascii="Times New Roman" w:hAnsi="Times New Roman"/>
          <w:color w:val="000000"/>
          <w:sz w:val="24"/>
          <w:szCs w:val="24"/>
          <w:lang w:val="sr-RS"/>
        </w:rPr>
        <w:t xml:space="preserve">, </w:t>
      </w:r>
    </w:p>
    <w:p>
      <w:pPr>
        <w:pStyle w:val="Normal"/>
        <w:numPr>
          <w:ilvl w:val="0"/>
          <w:numId w:val="2"/>
        </w:numPr>
        <w:pBdr/>
        <w:spacing w:before="0" w:after="0"/>
        <w:jc w:val="both"/>
        <w:rPr>
          <w:rFonts w:ascii="Times New Roman" w:hAnsi="Times New Roman" w:cs="Times New Roman"/>
          <w:color w:val="000000"/>
          <w:sz w:val="24"/>
          <w:szCs w:val="24"/>
        </w:rPr>
      </w:pPr>
      <w:r>
        <w:rPr>
          <w:rFonts w:cs="Times New Roman" w:ascii="Times New Roman" w:hAnsi="Times New Roman"/>
          <w:color w:val="000000"/>
          <w:sz w:val="24"/>
          <w:szCs w:val="24"/>
        </w:rPr>
        <w:t xml:space="preserve">Дефинисање бренда урбане регије </w:t>
      </w:r>
    </w:p>
    <w:p>
      <w:pPr>
        <w:pStyle w:val="Normal"/>
        <w:numPr>
          <w:ilvl w:val="1"/>
          <w:numId w:val="2"/>
        </w:numPr>
        <w:pBdr/>
        <w:spacing w:before="0" w:after="0"/>
        <w:jc w:val="both"/>
        <w:rPr>
          <w:rFonts w:ascii="Times New Roman" w:hAnsi="Times New Roman" w:cs="Times New Roman"/>
          <w:color w:val="000000"/>
          <w:sz w:val="24"/>
          <w:szCs w:val="24"/>
        </w:rPr>
      </w:pPr>
      <w:r>
        <w:rPr>
          <w:rFonts w:cs="Times New Roman" w:ascii="Times New Roman" w:hAnsi="Times New Roman"/>
          <w:color w:val="000000"/>
          <w:sz w:val="24"/>
          <w:szCs w:val="24"/>
        </w:rPr>
        <w:t>Кључне јавности ( Идентификација циљних група - туристи, инвеститори, локално становништво, локална привреда, млади и сл.)</w:t>
      </w:r>
    </w:p>
    <w:p>
      <w:pPr>
        <w:pStyle w:val="Normal"/>
        <w:numPr>
          <w:ilvl w:val="1"/>
          <w:numId w:val="2"/>
        </w:numPr>
        <w:pBdr/>
        <w:spacing w:before="0" w:after="0"/>
        <w:jc w:val="both"/>
        <w:rPr>
          <w:rFonts w:ascii="Times New Roman" w:hAnsi="Times New Roman" w:cs="Times New Roman"/>
          <w:color w:val="000000"/>
          <w:sz w:val="24"/>
          <w:szCs w:val="24"/>
        </w:rPr>
      </w:pPr>
      <w:r>
        <w:rPr>
          <w:rFonts w:cs="Times New Roman" w:ascii="Times New Roman" w:hAnsi="Times New Roman"/>
          <w:color w:val="000000"/>
          <w:sz w:val="24"/>
          <w:szCs w:val="24"/>
        </w:rPr>
        <w:t xml:space="preserve">Дефинисање основа за креирање бренда / архитектура бренда </w:t>
      </w:r>
    </w:p>
    <w:p>
      <w:pPr>
        <w:pStyle w:val="Normal"/>
        <w:numPr>
          <w:ilvl w:val="1"/>
          <w:numId w:val="2"/>
        </w:numPr>
        <w:pBdr/>
        <w:spacing w:before="0" w:after="0"/>
        <w:jc w:val="both"/>
        <w:rPr>
          <w:rFonts w:ascii="Times New Roman" w:hAnsi="Times New Roman" w:cs="Times New Roman"/>
          <w:color w:val="000000"/>
          <w:sz w:val="24"/>
          <w:szCs w:val="24"/>
        </w:rPr>
      </w:pPr>
      <w:r>
        <w:rPr>
          <w:rFonts w:cs="Times New Roman" w:ascii="Times New Roman" w:hAnsi="Times New Roman"/>
          <w:color w:val="000000"/>
          <w:sz w:val="24"/>
          <w:szCs w:val="24"/>
        </w:rPr>
        <w:t>Визуелни идентитет урбане регије – кључне поруке, лого и слоган</w:t>
      </w:r>
    </w:p>
    <w:p>
      <w:pPr>
        <w:pStyle w:val="Normal"/>
        <w:numPr>
          <w:ilvl w:val="0"/>
          <w:numId w:val="2"/>
        </w:numPr>
        <w:pBdr/>
        <w:spacing w:before="0" w:after="0"/>
        <w:jc w:val="both"/>
        <w:rPr>
          <w:rFonts w:ascii="Times New Roman" w:hAnsi="Times New Roman" w:cs="Times New Roman"/>
          <w:color w:val="000000"/>
          <w:sz w:val="24"/>
          <w:szCs w:val="24"/>
        </w:rPr>
      </w:pPr>
      <w:r>
        <w:rPr>
          <w:rFonts w:cs="Times New Roman" w:ascii="Times New Roman" w:hAnsi="Times New Roman"/>
          <w:color w:val="000000"/>
          <w:sz w:val="24"/>
          <w:szCs w:val="24"/>
        </w:rPr>
        <w:t xml:space="preserve">Комуникациони план </w:t>
      </w:r>
    </w:p>
    <w:p>
      <w:pPr>
        <w:pStyle w:val="Normal"/>
        <w:numPr>
          <w:ilvl w:val="1"/>
          <w:numId w:val="2"/>
        </w:numPr>
        <w:pBdr/>
        <w:spacing w:before="0" w:after="0"/>
        <w:jc w:val="both"/>
        <w:rPr>
          <w:rFonts w:ascii="Times New Roman" w:hAnsi="Times New Roman" w:cs="Times New Roman"/>
          <w:color w:val="000000"/>
          <w:sz w:val="24"/>
          <w:szCs w:val="24"/>
        </w:rPr>
      </w:pPr>
      <w:r>
        <w:rPr>
          <w:rFonts w:cs="Times New Roman" w:ascii="Times New Roman" w:hAnsi="Times New Roman"/>
          <w:color w:val="000000"/>
          <w:sz w:val="24"/>
          <w:szCs w:val="24"/>
        </w:rPr>
        <w:t xml:space="preserve">Интерни комуникациони план – матрица комуникационих алата усмерених на локално становништво и институције у циљу јачања свести о заједничком идентитету урбаног подручја </w:t>
      </w:r>
    </w:p>
    <w:p>
      <w:pPr>
        <w:pStyle w:val="Normal"/>
        <w:numPr>
          <w:ilvl w:val="1"/>
          <w:numId w:val="2"/>
        </w:numPr>
        <w:pBdr/>
        <w:spacing w:before="0" w:after="0"/>
        <w:jc w:val="both"/>
        <w:rPr>
          <w:rFonts w:ascii="Times New Roman" w:hAnsi="Times New Roman" w:cs="Times New Roman"/>
          <w:color w:val="000000"/>
          <w:sz w:val="24"/>
          <w:szCs w:val="24"/>
        </w:rPr>
      </w:pPr>
      <w:r>
        <w:rPr>
          <w:rFonts w:cs="Times New Roman" w:ascii="Times New Roman" w:hAnsi="Times New Roman"/>
          <w:color w:val="000000"/>
          <w:sz w:val="24"/>
          <w:szCs w:val="24"/>
        </w:rPr>
        <w:t>Екстерни комуникациони план – матрица комуникационих алата усмерених  на туристе, инвеститоре, донаторе и сл…</w:t>
      </w:r>
    </w:p>
    <w:p>
      <w:pPr>
        <w:pStyle w:val="Normal"/>
        <w:numPr>
          <w:ilvl w:val="1"/>
          <w:numId w:val="2"/>
        </w:numPr>
        <w:pBdr/>
        <w:spacing w:before="0" w:after="0"/>
        <w:jc w:val="both"/>
        <w:rPr>
          <w:rFonts w:ascii="Times New Roman" w:hAnsi="Times New Roman" w:cs="Times New Roman"/>
          <w:color w:val="000000"/>
          <w:sz w:val="24"/>
          <w:szCs w:val="24"/>
        </w:rPr>
      </w:pPr>
      <w:r>
        <w:rPr>
          <w:rFonts w:cs="Times New Roman" w:ascii="Times New Roman" w:hAnsi="Times New Roman"/>
          <w:color w:val="000000"/>
          <w:sz w:val="24"/>
          <w:szCs w:val="24"/>
        </w:rPr>
        <w:t>Оперативни маркетинг програм са буџетом за 3 године</w:t>
      </w:r>
    </w:p>
    <w:p>
      <w:pPr>
        <w:pStyle w:val="Normal"/>
        <w:numPr>
          <w:ilvl w:val="0"/>
          <w:numId w:val="2"/>
        </w:numPr>
        <w:pBdr/>
        <w:spacing w:before="0" w:after="0"/>
        <w:jc w:val="both"/>
        <w:rPr>
          <w:rFonts w:ascii="Times New Roman" w:hAnsi="Times New Roman" w:cs="Times New Roman"/>
          <w:color w:val="000000"/>
          <w:sz w:val="24"/>
          <w:szCs w:val="24"/>
        </w:rPr>
      </w:pPr>
      <w:r>
        <w:rPr>
          <w:rFonts w:cs="Times New Roman" w:ascii="Times New Roman" w:hAnsi="Times New Roman"/>
          <w:color w:val="000000"/>
          <w:sz w:val="24"/>
          <w:szCs w:val="24"/>
        </w:rPr>
        <w:t>Управљачки модел - Партнерство и сарадња за подршку територијалном маркетингу</w:t>
      </w:r>
    </w:p>
    <w:p>
      <w:pPr>
        <w:pStyle w:val="Normal"/>
        <w:numPr>
          <w:ilvl w:val="0"/>
          <w:numId w:val="2"/>
        </w:numPr>
        <w:pBdr/>
        <w:spacing w:before="0" w:after="0"/>
        <w:jc w:val="both"/>
        <w:rPr>
          <w:rFonts w:ascii="Times New Roman" w:hAnsi="Times New Roman" w:cs="Times New Roman"/>
          <w:color w:val="000000"/>
          <w:sz w:val="24"/>
          <w:szCs w:val="24"/>
        </w:rPr>
      </w:pPr>
      <w:r>
        <w:rPr>
          <w:rFonts w:cs="Times New Roman" w:ascii="Times New Roman" w:hAnsi="Times New Roman"/>
          <w:color w:val="000000"/>
          <w:sz w:val="24"/>
          <w:szCs w:val="24"/>
        </w:rPr>
        <w:t xml:space="preserve">Мерење учинка и евалуација </w:t>
      </w:r>
    </w:p>
    <w:p>
      <w:pPr>
        <w:pStyle w:val="Normal"/>
        <w:numPr>
          <w:ilvl w:val="1"/>
          <w:numId w:val="2"/>
        </w:numPr>
        <w:pBdr/>
        <w:spacing w:before="0" w:after="0"/>
        <w:jc w:val="both"/>
        <w:rPr>
          <w:rFonts w:ascii="Times New Roman" w:hAnsi="Times New Roman" w:cs="Times New Roman"/>
          <w:color w:val="000000"/>
          <w:sz w:val="24"/>
          <w:szCs w:val="24"/>
        </w:rPr>
      </w:pPr>
      <w:r>
        <w:rPr>
          <w:rFonts w:cs="Times New Roman" w:ascii="Times New Roman" w:hAnsi="Times New Roman"/>
          <w:color w:val="000000"/>
          <w:sz w:val="24"/>
          <w:szCs w:val="24"/>
        </w:rPr>
        <w:t xml:space="preserve">Кључни индикатори учинка </w:t>
      </w:r>
    </w:p>
    <w:p>
      <w:pPr>
        <w:pStyle w:val="Normal"/>
        <w:numPr>
          <w:ilvl w:val="1"/>
          <w:numId w:val="2"/>
        </w:numPr>
        <w:pBdr/>
        <w:spacing w:before="0" w:after="0"/>
        <w:jc w:val="both"/>
        <w:rPr>
          <w:rFonts w:ascii="Times New Roman" w:hAnsi="Times New Roman" w:cs="Times New Roman"/>
          <w:color w:val="000000"/>
          <w:sz w:val="24"/>
          <w:szCs w:val="24"/>
        </w:rPr>
      </w:pPr>
      <w:r>
        <w:rPr>
          <w:rFonts w:cs="Times New Roman" w:ascii="Times New Roman" w:hAnsi="Times New Roman"/>
          <w:color w:val="000000"/>
          <w:sz w:val="24"/>
          <w:szCs w:val="24"/>
        </w:rPr>
        <w:t xml:space="preserve">Методологија праћења напретка </w:t>
      </w:r>
    </w:p>
    <w:p>
      <w:pPr>
        <w:pStyle w:val="Normal"/>
        <w:jc w:val="both"/>
        <w:rPr>
          <w:rFonts w:ascii="Times New Roman" w:hAnsi="Times New Roman" w:cs="Times New Roman"/>
          <w:sz w:val="24"/>
          <w:szCs w:val="24"/>
          <w:lang w:val="sr-RS"/>
        </w:rPr>
      </w:pPr>
      <w:r>
        <w:rPr>
          <w:rFonts w:cs="Times New Roman" w:ascii="Times New Roman" w:hAnsi="Times New Roman"/>
          <w:sz w:val="24"/>
          <w:szCs w:val="24"/>
          <w:lang w:val="sr-RS"/>
        </w:rPr>
      </w:r>
    </w:p>
    <w:p>
      <w:pPr>
        <w:pStyle w:val="Normal"/>
        <w:jc w:val="both"/>
        <w:rPr>
          <w:rFonts w:ascii="Times New Roman" w:hAnsi="Times New Roman" w:cs="Times New Roman"/>
          <w:sz w:val="24"/>
          <w:szCs w:val="24"/>
        </w:rPr>
      </w:pPr>
      <w:r>
        <w:rPr>
          <w:rFonts w:cs="Times New Roman" w:ascii="Times New Roman" w:hAnsi="Times New Roman"/>
          <w:sz w:val="24"/>
          <w:szCs w:val="24"/>
        </w:rPr>
        <w:t xml:space="preserve">Коначни садржај биће дефинисан након потписивања Уговора на предлог пружаоца услуге, али не може бити мањег обима од предложеног, већ може бити другачије структурисан. Уколико пружалац услуге нема другачији предлог користиће се дати оквирни предлог садржаја. </w:t>
      </w:r>
    </w:p>
    <w:p>
      <w:pPr>
        <w:pStyle w:val="Normal"/>
        <w:jc w:val="both"/>
        <w:rPr>
          <w:rFonts w:ascii="Times New Roman" w:hAnsi="Times New Roman" w:cs="Times New Roman"/>
          <w:sz w:val="24"/>
          <w:szCs w:val="24"/>
        </w:rPr>
      </w:pPr>
      <w:r>
        <w:rPr>
          <w:rFonts w:cs="Times New Roman" w:ascii="Times New Roman" w:hAnsi="Times New Roman"/>
          <w:b/>
          <w:sz w:val="24"/>
          <w:szCs w:val="24"/>
        </w:rPr>
        <w:t xml:space="preserve">Временски оквир за израду Маркетинг </w:t>
      </w:r>
      <w:r>
        <w:rPr>
          <w:rFonts w:cs="Times New Roman" w:ascii="Times New Roman" w:hAnsi="Times New Roman"/>
          <w:b/>
          <w:sz w:val="24"/>
          <w:szCs w:val="24"/>
          <w:lang w:val="sr-RS"/>
        </w:rPr>
        <w:t>плана</w:t>
      </w:r>
      <w:r>
        <w:rPr>
          <w:rFonts w:cs="Times New Roman" w:ascii="Times New Roman" w:hAnsi="Times New Roman"/>
          <w:b/>
          <w:sz w:val="24"/>
          <w:szCs w:val="24"/>
        </w:rPr>
        <w:t xml:space="preserve"> урбаног подручја града Зајечара и општина Књажевац, Сокобања и Бољевац је </w:t>
      </w:r>
      <w:r>
        <w:rPr>
          <w:rFonts w:cs="Times New Roman" w:ascii="Times New Roman" w:hAnsi="Times New Roman"/>
          <w:b/>
          <w:sz w:val="24"/>
          <w:szCs w:val="24"/>
          <w:lang w:val="sr-Latn-RS"/>
        </w:rPr>
        <w:t>3</w:t>
      </w:r>
      <w:r>
        <w:rPr>
          <w:rFonts w:cs="Times New Roman" w:ascii="Times New Roman" w:hAnsi="Times New Roman"/>
          <w:b/>
          <w:sz w:val="24"/>
          <w:szCs w:val="24"/>
          <w:lang w:val="sr-RS"/>
        </w:rPr>
        <w:t xml:space="preserve"> (</w:t>
      </w:r>
      <w:r>
        <w:rPr>
          <w:rFonts w:cs="Times New Roman" w:ascii="Times New Roman" w:hAnsi="Times New Roman"/>
          <w:b/>
          <w:sz w:val="24"/>
          <w:szCs w:val="24"/>
          <w:lang w:val="sr-RS"/>
        </w:rPr>
        <w:t>три</w:t>
      </w:r>
      <w:r>
        <w:rPr>
          <w:rFonts w:cs="Times New Roman" w:ascii="Times New Roman" w:hAnsi="Times New Roman"/>
          <w:b/>
          <w:sz w:val="24"/>
          <w:szCs w:val="24"/>
          <w:lang w:val="sr-RS"/>
        </w:rPr>
        <w:t>)</w:t>
      </w:r>
      <w:r>
        <w:rPr>
          <w:rFonts w:cs="Times New Roman" w:ascii="Times New Roman" w:hAnsi="Times New Roman"/>
          <w:b/>
          <w:sz w:val="24"/>
          <w:szCs w:val="24"/>
        </w:rPr>
        <w:t xml:space="preserve"> месец</w:t>
      </w:r>
      <w:r>
        <w:rPr>
          <w:rFonts w:cs="Times New Roman" w:ascii="Times New Roman" w:hAnsi="Times New Roman"/>
          <w:b/>
          <w:sz w:val="24"/>
          <w:szCs w:val="24"/>
          <w:lang w:val="sr-RS"/>
        </w:rPr>
        <w:t>а</w:t>
      </w:r>
      <w:r>
        <w:rPr>
          <w:rFonts w:cs="Times New Roman" w:ascii="Times New Roman" w:hAnsi="Times New Roman"/>
          <w:b/>
          <w:sz w:val="24"/>
          <w:szCs w:val="24"/>
        </w:rPr>
        <w:t>, у шта не улази период спровођења јавне расправе.</w:t>
      </w:r>
    </w:p>
    <w:p>
      <w:pPr>
        <w:pStyle w:val="Normal"/>
        <w:jc w:val="both"/>
        <w:rPr>
          <w:rFonts w:ascii="Times New Roman" w:hAnsi="Times New Roman" w:cs="Times New Roman"/>
          <w:sz w:val="24"/>
          <w:szCs w:val="24"/>
        </w:rPr>
      </w:pPr>
      <w:bookmarkStart w:id="2" w:name="_gjdgxs"/>
      <w:bookmarkEnd w:id="2"/>
      <w:r>
        <w:rPr>
          <w:rFonts w:cs="Times New Roman" w:ascii="Times New Roman" w:hAnsi="Times New Roman"/>
          <w:sz w:val="24"/>
          <w:szCs w:val="24"/>
        </w:rPr>
        <w:t xml:space="preserve">Пружалац услуге ће радну верзију Територијалног маркетинг </w:t>
      </w:r>
      <w:r>
        <w:rPr>
          <w:rFonts w:cs="Times New Roman" w:ascii="Times New Roman" w:hAnsi="Times New Roman"/>
          <w:sz w:val="24"/>
          <w:szCs w:val="24"/>
          <w:lang w:val="sr-RS"/>
        </w:rPr>
        <w:t>плана</w:t>
      </w:r>
      <w:r>
        <w:rPr>
          <w:rFonts w:cs="Times New Roman" w:ascii="Times New Roman" w:hAnsi="Times New Roman"/>
          <w:sz w:val="24"/>
          <w:szCs w:val="24"/>
        </w:rPr>
        <w:t xml:space="preserve"> урбаног подручја доставити Наручиоцу на одобрење, и у обавези је да усвоји све примедбе Наручиоца које не повећавају обим посла, већ се односе на информације, тачност података и квалитет садржаја. </w:t>
      </w:r>
    </w:p>
    <w:p>
      <w:pPr>
        <w:pStyle w:val="Normal"/>
        <w:jc w:val="both"/>
        <w:rPr>
          <w:rFonts w:ascii="Times New Roman" w:hAnsi="Times New Roman" w:cs="Times New Roman"/>
          <w:sz w:val="24"/>
          <w:szCs w:val="24"/>
        </w:rPr>
      </w:pPr>
      <w:r>
        <w:rPr>
          <w:rFonts w:cs="Times New Roman" w:ascii="Times New Roman" w:hAnsi="Times New Roman"/>
          <w:sz w:val="24"/>
          <w:szCs w:val="24"/>
        </w:rPr>
        <w:t xml:space="preserve">За јавну расправу пружалац услуге је у обавези да изради програм јавне расправе, присуствује самом догађају јавне расправе и изради Извештај о спроведеној јавној расправи.  Наручилац ће омогућити да нацрт Територијалног маркетинг </w:t>
      </w:r>
      <w:r>
        <w:rPr>
          <w:rFonts w:cs="Times New Roman" w:ascii="Times New Roman" w:hAnsi="Times New Roman"/>
          <w:sz w:val="24"/>
          <w:szCs w:val="24"/>
          <w:lang w:val="sr-RS"/>
        </w:rPr>
        <w:t>плана</w:t>
      </w:r>
      <w:r>
        <w:rPr>
          <w:rFonts w:cs="Times New Roman" w:ascii="Times New Roman" w:hAnsi="Times New Roman"/>
          <w:sz w:val="24"/>
          <w:szCs w:val="24"/>
        </w:rPr>
        <w:t xml:space="preserve"> урбаног подручја града Зајечара и општина Књажевац, Сокобања и Бољевац за период 2026 – 2028, буде он-лине доступан како би све заинтересоване стране могле да дају  коментаре, предлоге и сугестије. </w:t>
      </w:r>
    </w:p>
    <w:p>
      <w:pPr>
        <w:pStyle w:val="Normal"/>
        <w:jc w:val="both"/>
        <w:rPr>
          <w:rFonts w:ascii="Times New Roman" w:hAnsi="Times New Roman" w:cs="Times New Roman"/>
          <w:b/>
          <w:b/>
          <w:sz w:val="24"/>
          <w:szCs w:val="24"/>
        </w:rPr>
      </w:pPr>
      <w:r>
        <w:rPr>
          <w:rFonts w:cs="Times New Roman" w:ascii="Times New Roman" w:hAnsi="Times New Roman"/>
          <w:b/>
          <w:sz w:val="24"/>
          <w:szCs w:val="24"/>
        </w:rPr>
        <w:t>Након завршетка јавне расправе, Пружалац услуга је у обавези да у складу са добијеним коментарима, предлозима и сугестијама изради финалну верзију Територијалног маркетинг п</w:t>
      </w:r>
      <w:r>
        <w:rPr>
          <w:rFonts w:cs="Times New Roman" w:ascii="Times New Roman" w:hAnsi="Times New Roman"/>
          <w:b/>
          <w:sz w:val="24"/>
          <w:szCs w:val="24"/>
          <w:lang w:val="sr-RS"/>
        </w:rPr>
        <w:t>плана</w:t>
      </w:r>
      <w:r>
        <w:rPr>
          <w:rFonts w:cs="Times New Roman" w:ascii="Times New Roman" w:hAnsi="Times New Roman"/>
          <w:b/>
          <w:sz w:val="24"/>
          <w:szCs w:val="24"/>
        </w:rPr>
        <w:t xml:space="preserve"> и доставити је Наручиоцу. </w:t>
      </w:r>
    </w:p>
    <w:p>
      <w:pPr>
        <w:pStyle w:val="Normal"/>
        <w:jc w:val="both"/>
        <w:rPr>
          <w:rFonts w:ascii="Times New Roman" w:hAnsi="Times New Roman" w:cs="Times New Roman"/>
          <w:b/>
          <w:b/>
          <w:sz w:val="24"/>
          <w:szCs w:val="24"/>
        </w:rPr>
      </w:pPr>
      <w:r>
        <w:rPr>
          <w:rFonts w:cs="Times New Roman" w:ascii="Times New Roman" w:hAnsi="Times New Roman"/>
          <w:b/>
          <w:sz w:val="24"/>
          <w:szCs w:val="24"/>
        </w:rPr>
        <w:t>Опште обавезе Понуђача</w:t>
      </w:r>
    </w:p>
    <w:p>
      <w:pPr>
        <w:pStyle w:val="Normal"/>
        <w:spacing w:lineRule="auto" w:line="240"/>
        <w:ind w:right="-85" w:hanging="0"/>
        <w:jc w:val="both"/>
        <w:rPr>
          <w:rFonts w:ascii="Times New Roman" w:hAnsi="Times New Roman" w:cs="Times New Roman"/>
          <w:sz w:val="24"/>
          <w:szCs w:val="24"/>
        </w:rPr>
      </w:pPr>
      <w:r>
        <w:rPr>
          <w:rFonts w:cs="Times New Roman" w:ascii="Times New Roman" w:hAnsi="Times New Roman"/>
          <w:sz w:val="24"/>
          <w:szCs w:val="24"/>
        </w:rPr>
        <w:t>Опште обавезе Понуђача су:</w:t>
      </w:r>
    </w:p>
    <w:p>
      <w:pPr>
        <w:pStyle w:val="Normal"/>
        <w:numPr>
          <w:ilvl w:val="0"/>
          <w:numId w:val="3"/>
        </w:numPr>
        <w:pBdr/>
        <w:spacing w:before="0" w:after="0"/>
        <w:jc w:val="both"/>
        <w:rPr>
          <w:rFonts w:ascii="Times New Roman" w:hAnsi="Times New Roman" w:cs="Times New Roman"/>
          <w:color w:val="000000"/>
          <w:sz w:val="24"/>
          <w:szCs w:val="24"/>
        </w:rPr>
      </w:pPr>
      <w:r>
        <w:rPr>
          <w:rFonts w:cs="Times New Roman" w:ascii="Times New Roman" w:hAnsi="Times New Roman"/>
          <w:color w:val="000000"/>
          <w:sz w:val="24"/>
          <w:szCs w:val="24"/>
        </w:rPr>
        <w:t>Присуство свим догађајима током свих фаза у процесу израде документа и блиска сарадња са радним тимом Наручиоца, укључујући радне састанке током израде документа који могу бити одржани уживо или он-лине</w:t>
      </w:r>
    </w:p>
    <w:p>
      <w:pPr>
        <w:pStyle w:val="Normal"/>
        <w:numPr>
          <w:ilvl w:val="0"/>
          <w:numId w:val="3"/>
        </w:numPr>
        <w:pBdr/>
        <w:spacing w:lineRule="auto" w:line="240" w:before="0" w:after="0"/>
        <w:ind w:left="720" w:right="-87" w:hanging="360"/>
        <w:jc w:val="both"/>
        <w:rPr>
          <w:rFonts w:ascii="Times New Roman" w:hAnsi="Times New Roman" w:cs="Times New Roman"/>
          <w:color w:val="000000"/>
          <w:sz w:val="24"/>
          <w:szCs w:val="24"/>
        </w:rPr>
      </w:pPr>
      <w:r>
        <w:rPr>
          <w:rFonts w:cs="Times New Roman" w:ascii="Times New Roman" w:hAnsi="Times New Roman"/>
          <w:color w:val="000000"/>
          <w:sz w:val="24"/>
          <w:szCs w:val="24"/>
        </w:rPr>
        <w:t>Обављање пројектног задатка на професионалан начин, у складу са релевантним правним прописима уз примену савремених знања, вештина, норми и стандарда</w:t>
      </w:r>
    </w:p>
    <w:p>
      <w:pPr>
        <w:pStyle w:val="Normal"/>
        <w:numPr>
          <w:ilvl w:val="0"/>
          <w:numId w:val="3"/>
        </w:numPr>
        <w:spacing w:lineRule="auto" w:line="240" w:before="0" w:after="0"/>
        <w:jc w:val="both"/>
        <w:rPr>
          <w:rFonts w:ascii="Times New Roman" w:hAnsi="Times New Roman" w:cs="Times New Roman"/>
          <w:sz w:val="24"/>
          <w:szCs w:val="24"/>
        </w:rPr>
      </w:pPr>
      <w:r>
        <w:rPr>
          <w:rFonts w:cs="Times New Roman" w:ascii="Times New Roman" w:hAnsi="Times New Roman"/>
          <w:sz w:val="24"/>
          <w:szCs w:val="24"/>
        </w:rPr>
        <w:t xml:space="preserve">Радни језик на коме ће се радионице одржавати је српски. </w:t>
      </w:r>
    </w:p>
    <w:p>
      <w:pPr>
        <w:pStyle w:val="Normal"/>
        <w:numPr>
          <w:ilvl w:val="0"/>
          <w:numId w:val="3"/>
        </w:numPr>
        <w:spacing w:lineRule="auto" w:line="240" w:before="0" w:after="0"/>
        <w:ind w:left="720" w:right="-87" w:hanging="360"/>
        <w:jc w:val="both"/>
        <w:rPr>
          <w:rFonts w:ascii="Times New Roman" w:hAnsi="Times New Roman" w:cs="Times New Roman"/>
          <w:sz w:val="24"/>
          <w:szCs w:val="24"/>
        </w:rPr>
      </w:pPr>
      <w:r>
        <w:rPr>
          <w:rFonts w:cs="Times New Roman" w:ascii="Times New Roman" w:hAnsi="Times New Roman"/>
          <w:sz w:val="24"/>
          <w:szCs w:val="24"/>
        </w:rPr>
        <w:t>Документ се израђује на српском језику и доставља у дигиталном формату ( пдф и wорд)</w:t>
      </w:r>
    </w:p>
    <w:p>
      <w:pPr>
        <w:pStyle w:val="Normal"/>
        <w:numPr>
          <w:ilvl w:val="0"/>
          <w:numId w:val="3"/>
        </w:numPr>
        <w:spacing w:lineRule="auto" w:line="240" w:before="0" w:after="0"/>
        <w:ind w:left="720" w:right="-87" w:hanging="360"/>
        <w:jc w:val="both"/>
        <w:rPr>
          <w:rFonts w:ascii="Times New Roman" w:hAnsi="Times New Roman" w:cs="Times New Roman"/>
          <w:sz w:val="24"/>
          <w:szCs w:val="24"/>
        </w:rPr>
      </w:pPr>
      <w:r>
        <w:rPr>
          <w:rFonts w:cs="Times New Roman" w:ascii="Times New Roman" w:hAnsi="Times New Roman"/>
          <w:sz w:val="24"/>
          <w:szCs w:val="24"/>
        </w:rPr>
        <w:t xml:space="preserve">Поступање у складу са могућим примедбама и захтевима Наручиоца у свим фазама израде </w:t>
      </w:r>
    </w:p>
    <w:p>
      <w:pPr>
        <w:pStyle w:val="Normal"/>
        <w:numPr>
          <w:ilvl w:val="0"/>
          <w:numId w:val="3"/>
        </w:numPr>
        <w:spacing w:lineRule="auto" w:line="240" w:before="0" w:after="0"/>
        <w:ind w:left="720" w:right="-87" w:hanging="360"/>
        <w:jc w:val="both"/>
        <w:rPr>
          <w:rFonts w:ascii="Times New Roman" w:hAnsi="Times New Roman" w:cs="Times New Roman"/>
          <w:sz w:val="24"/>
          <w:szCs w:val="24"/>
        </w:rPr>
      </w:pPr>
      <w:r>
        <w:rPr>
          <w:rFonts w:cs="Times New Roman" w:ascii="Times New Roman" w:hAnsi="Times New Roman"/>
          <w:sz w:val="24"/>
          <w:szCs w:val="24"/>
        </w:rPr>
        <w:t>Сав садржај треба да буде припремљен у складу са правилима видљивости програма ЕУ Про плус, који је доступан на wеб сајту програма и у договору са Наручиоцем.</w:t>
      </w:r>
    </w:p>
    <w:p>
      <w:pPr>
        <w:pStyle w:val="Normal"/>
        <w:numPr>
          <w:ilvl w:val="0"/>
          <w:numId w:val="3"/>
        </w:numPr>
        <w:pBdr/>
        <w:jc w:val="both"/>
        <w:rPr>
          <w:rFonts w:ascii="Times New Roman" w:hAnsi="Times New Roman" w:cs="Times New Roman"/>
          <w:color w:val="000000"/>
          <w:sz w:val="24"/>
          <w:szCs w:val="24"/>
        </w:rPr>
      </w:pPr>
      <w:r>
        <w:rPr>
          <w:rFonts w:cs="Times New Roman" w:ascii="Times New Roman" w:hAnsi="Times New Roman"/>
          <w:color w:val="000000"/>
          <w:sz w:val="24"/>
          <w:szCs w:val="24"/>
        </w:rPr>
        <w:t>По завршетку Уговора, Пружалац услуге уступа и преноси на Наручиоца сва права коришћења и права интелектуалне својине за израђени Територијални маркетинг програм, као резултат рада по овом Уговору.</w:t>
      </w:r>
    </w:p>
    <w:p>
      <w:pPr>
        <w:pStyle w:val="Normal"/>
        <w:jc w:val="both"/>
        <w:rPr>
          <w:rFonts w:ascii="Times New Roman" w:hAnsi="Times New Roman" w:cs="Times New Roman"/>
          <w:sz w:val="24"/>
          <w:szCs w:val="24"/>
          <w:lang w:val="sr-RS"/>
        </w:rPr>
      </w:pPr>
      <w:r>
        <w:rPr>
          <w:rFonts w:cs="Times New Roman" w:ascii="Times New Roman" w:hAnsi="Times New Roman"/>
          <w:sz w:val="24"/>
          <w:szCs w:val="24"/>
          <w:lang w:val="sr-RS"/>
        </w:rPr>
      </w:r>
    </w:p>
    <w:p>
      <w:pPr>
        <w:pStyle w:val="Normal"/>
        <w:jc w:val="both"/>
        <w:rPr>
          <w:rFonts w:ascii="Times New Roman" w:hAnsi="Times New Roman" w:cs="Times New Roman"/>
          <w:sz w:val="24"/>
          <w:szCs w:val="24"/>
        </w:rPr>
      </w:pPr>
      <w:r>
        <w:rPr>
          <w:rFonts w:cs="Times New Roman" w:ascii="Times New Roman" w:hAnsi="Times New Roman"/>
          <w:sz w:val="24"/>
          <w:szCs w:val="24"/>
        </w:rPr>
        <w:t>За подршку и организовање радионица, он-лине радионица и јавне расправе, обезбеђивање простора, техничке опреме, позивање учесника задужен је Наручилац</w:t>
      </w:r>
    </w:p>
    <w:p>
      <w:pPr>
        <w:pStyle w:val="Normal"/>
        <w:jc w:val="both"/>
        <w:rPr>
          <w:rFonts w:ascii="Times New Roman" w:hAnsi="Times New Roman" w:cs="Times New Roman"/>
          <w:b/>
          <w:b/>
          <w:sz w:val="24"/>
          <w:szCs w:val="24"/>
        </w:rPr>
      </w:pPr>
      <w:r>
        <w:rPr>
          <w:rFonts w:cs="Times New Roman" w:ascii="Times New Roman" w:hAnsi="Times New Roman"/>
          <w:b/>
          <w:sz w:val="24"/>
          <w:szCs w:val="24"/>
        </w:rPr>
        <w:t xml:space="preserve">Услови плаћања </w:t>
      </w:r>
    </w:p>
    <w:p>
      <w:pPr>
        <w:pStyle w:val="Normal"/>
        <w:numPr>
          <w:ilvl w:val="0"/>
          <w:numId w:val="3"/>
        </w:numPr>
        <w:spacing w:lineRule="auto" w:line="240" w:before="0" w:after="0"/>
        <w:ind w:left="720" w:right="-87" w:hanging="360"/>
        <w:jc w:val="both"/>
        <w:rPr>
          <w:rFonts w:ascii="Times New Roman" w:hAnsi="Times New Roman" w:cs="Times New Roman"/>
          <w:sz w:val="24"/>
          <w:szCs w:val="24"/>
        </w:rPr>
      </w:pPr>
      <w:r>
        <w:rPr>
          <w:rFonts w:cs="Times New Roman" w:ascii="Times New Roman" w:hAnsi="Times New Roman"/>
          <w:sz w:val="24"/>
          <w:szCs w:val="24"/>
        </w:rPr>
        <w:t>Прва Транша од 50% вредности уговора након завршетка радне верзије документа</w:t>
      </w:r>
    </w:p>
    <w:p>
      <w:pPr>
        <w:pStyle w:val="Normal"/>
        <w:numPr>
          <w:ilvl w:val="0"/>
          <w:numId w:val="3"/>
        </w:numPr>
        <w:spacing w:lineRule="auto" w:line="240" w:before="0" w:after="0"/>
        <w:ind w:left="720" w:right="-87" w:hanging="360"/>
        <w:jc w:val="both"/>
        <w:rPr>
          <w:rFonts w:ascii="Times New Roman" w:hAnsi="Times New Roman" w:cs="Times New Roman"/>
          <w:sz w:val="24"/>
          <w:szCs w:val="24"/>
        </w:rPr>
      </w:pPr>
      <w:r>
        <w:rPr>
          <w:rFonts w:cs="Times New Roman" w:ascii="Times New Roman" w:hAnsi="Times New Roman"/>
          <w:sz w:val="24"/>
          <w:szCs w:val="24"/>
        </w:rPr>
        <w:t>Финално плаћање по завршетку израде финалне верзије и прихватања документа од стране Наручиоца</w:t>
      </w:r>
    </w:p>
    <w:p>
      <w:pPr>
        <w:pStyle w:val="Normal"/>
        <w:jc w:val="both"/>
        <w:rPr>
          <w:rFonts w:ascii="Times New Roman" w:hAnsi="Times New Roman" w:cs="Times New Roman"/>
          <w:sz w:val="24"/>
          <w:szCs w:val="24"/>
        </w:rPr>
      </w:pPr>
      <w:r>
        <w:rPr>
          <w:rFonts w:cs="Times New Roman" w:ascii="Times New Roman" w:hAnsi="Times New Roman"/>
          <w:sz w:val="24"/>
          <w:szCs w:val="24"/>
        </w:rPr>
      </w:r>
    </w:p>
    <w:p>
      <w:pPr>
        <w:pStyle w:val="Normal"/>
        <w:rPr>
          <w:rFonts w:ascii="Times New Roman" w:hAnsi="Times New Roman" w:cs="Times New Roman"/>
          <w:sz w:val="24"/>
          <w:szCs w:val="24"/>
        </w:rPr>
      </w:pPr>
      <w:r>
        <w:rPr>
          <w:rFonts w:cs="Times New Roman" w:ascii="Times New Roman" w:hAnsi="Times New Roman"/>
          <w:sz w:val="24"/>
          <w:szCs w:val="24"/>
        </w:rPr>
      </w:r>
    </w:p>
    <w:p>
      <w:pPr>
        <w:pStyle w:val="Normal"/>
        <w:spacing w:before="0" w:after="200"/>
        <w:rPr>
          <w:rFonts w:ascii="Times New Roman" w:hAnsi="Times New Roman" w:cs="Times New Roman"/>
          <w:sz w:val="24"/>
          <w:szCs w:val="24"/>
        </w:rPr>
      </w:pPr>
      <w:r>
        <w:rPr/>
      </w:r>
    </w:p>
    <w:sectPr>
      <w:footnotePr>
        <w:numFmt w:val="decimal"/>
      </w:footnotePr>
      <w:type w:val="nextPage"/>
      <w:pgSz w:w="11906" w:h="16838"/>
      <w:pgMar w:left="1417" w:right="1417" w:gutter="0" w:header="0" w:top="1417" w:footer="0" w:bottom="1417"/>
      <w:pgNumType w:start="1" w:fmt="decimal"/>
      <w:formProt w:val="false"/>
      <w:textDirection w:val="lrTb"/>
      <w:docGrid w:type="default" w:linePitch="100" w:charSpace="4096"/>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embedRegular r:id="rId1" w:fontKey="{01014A78-CABC-4EF0-12AC-5CD89AEFDE01}"/>
    <w:embedBold r:id="rId2" w:fontKey="{02014A78-CABC-4EF0-12AC-5CD89AEFDE02}"/>
    <w:embedItalic r:id="rId3" w:fontKey="{03014A78-CABC-4EF0-12AC-5CD89AEFDE03}"/>
    <w:embedBoldItalic r:id="rId4" w:fontKey="{04014A78-CABC-4EF0-12AC-5CD89AEFDE04}"/>
  </w:font>
  <w:font w:name="Symbol">
    <w:charset w:val="02"/>
    <w:family w:val="roman"/>
    <w:pitch w:val="variable"/>
    <w:embedRegular r:id="rId5" w:fontKey="{05014A78-CABC-4EF0-12AC-5CD89AEFDE05}"/>
  </w:font>
  <w:font w:name="Arial">
    <w:charset w:val="00"/>
    <w:family w:val="swiss"/>
    <w:pitch w:val="variable"/>
    <w:embedRegular r:id="rId6" w:fontKey="{06014A78-CABC-4EF0-12AC-5CD89AEFDE06}"/>
    <w:embedBold r:id="rId7" w:fontKey="{07014A78-CABC-4EF0-12AC-5CD89AEFDE07}"/>
    <w:embedItalic r:id="rId8" w:fontKey="{08014A78-CABC-4EF0-12AC-5CD89AEFDE08}"/>
    <w:embedBoldItalic r:id="rId9" w:fontKey="{09014A78-CABC-4EF0-12AC-5CD89AEFDE09}"/>
  </w:font>
  <w:font w:name="Liberation Serif">
    <w:altName w:val="Times New Roman"/>
    <w:charset w:val="00"/>
    <w:family w:val="roman"/>
    <w:pitch w:val="variable"/>
    <w:embedRegular r:id="rId10" w:fontKey="{0A014A78-CABC-4EF0-12AC-5CD89AEFDE0A}"/>
    <w:embedBold r:id="rId11" w:fontKey="{0B014A78-CABC-4EF0-12AC-5CD89AEFDE0B}"/>
    <w:embedItalic r:id="rId12" w:fontKey="{0C014A78-CABC-4EF0-12AC-5CD89AEFDE0C}"/>
    <w:embedBoldItalic r:id="rId13" w:fontKey="{0D014A78-CABC-4EF0-12AC-5CD89AEFDE0D}"/>
  </w:font>
  <w:font w:name="Calibri">
    <w:charset w:val="00"/>
    <w:family w:val="roman"/>
    <w:pitch w:val="variable"/>
  </w:font>
  <w:font w:name="Liberation Sans">
    <w:altName w:val="Arial"/>
    <w:charset w:val="00"/>
    <w:family w:val="swiss"/>
    <w:pitch w:val="variable"/>
    <w:embedRegular r:id="rId14" w:fontKey="{0E014A78-CABC-4EF0-12AC-5CD89AEFDE0E}"/>
    <w:embedBold r:id="rId15" w:fontKey="{0F014A78-CABC-4EF0-12AC-5CD89AEFDE0F}"/>
    <w:embedItalic r:id="rId16" w:fontKey="{10014A78-CABC-4EF0-12AC-5CD89AEFDE10}"/>
    <w:embedBoldItalic r:id="rId17" w:fontKey="{11014A78-CABC-4EF0-12AC-5CD89AEFDE11}"/>
  </w:font>
  <w:font w:name="Georgia">
    <w:charset w:val="00"/>
    <w:family w:val="roman"/>
    <w:pitch w:val="variable"/>
    <w:embedRegular r:id="rId18" w:fontKey="{12014A78-CABC-4EF0-12AC-5CD89AEFDE12}"/>
    <w:embedBold r:id="rId19" w:fontKey="{13014A78-CABC-4EF0-12AC-5CD89AEFDE13}"/>
    <w:embedItalic r:id="rId20" w:fontKey="{14014A78-CABC-4EF0-12AC-5CD89AEFDE14}"/>
    <w:embedBoldItalic r:id="rId21" w:fontKey="{15014A78-CABC-4EF0-12AC-5CD89AEFDE15}"/>
  </w:font>
  <w:font w:name="Noto Sans Symbols">
    <w:charset w:val="01"/>
    <w:family w:val="swiss"/>
    <w:pitch w:val="default"/>
  </w:font>
  <w:font w:name="Courier New">
    <w:charset w:val="01"/>
    <w:family w:val="modern"/>
    <w:pitch w:val="fixed"/>
    <w:embedRegular r:id="rId22" w:fontKey="{16014A78-CABC-4EF0-12AC-5CD89AEFDE16}"/>
    <w:embedBold r:id="rId23" w:fontKey="{17014A78-CABC-4EF0-12AC-5CD89AEFDE17}"/>
    <w:embedItalic r:id="rId24" w:fontKey="{18014A78-CABC-4EF0-12AC-5CD89AEFDE18}"/>
    <w:embedBoldItalic r:id="rId25" w:fontKey="{19014A78-CABC-4EF0-12AC-5CD89AEFDE19}"/>
  </w:font>
  <w:font w:name="Wingdings">
    <w:charset w:val="02"/>
    <w:family w:val="auto"/>
    <w:pitch w:val="default"/>
    <w:embedRegular r:id="rId26" w:fontKey="{1A014A78-CABC-4EF0-12AC-5CD89AEFDE1A}"/>
  </w:font>
</w:fonts>
</file>

<file path=word/footnotes.xml><?xml version="1.0" encoding="utf-8"?>
<w:footnotes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footnote w:id="0" w:type="separator">
    <w:p>
      <w:pPr>
        <w:rPr>
          <w:sz w:val="12"/>
        </w:rPr>
      </w:pPr>
      <w:r>
        <w:separator/>
      </w:r>
    </w:p>
  </w:footnote>
  <w:footnote w:id="1" w:type="continuationSeparator">
    <w:p>
      <w:pPr>
        <w:rPr>
          <w:sz w:val="12"/>
        </w:rPr>
      </w:pPr>
      <w:r>
        <w:continuationSeparator/>
      </w:r>
    </w:p>
  </w:footnote>
  <w:footnote w:id="2">
    <w:p>
      <w:pPr>
        <w:pStyle w:val="Normal"/>
        <w:spacing w:lineRule="auto" w:line="240" w:before="0" w:after="0"/>
        <w:rPr>
          <w:sz w:val="24"/>
          <w:szCs w:val="24"/>
        </w:rPr>
      </w:pPr>
      <w:r>
        <w:rPr>
          <w:rStyle w:val="FootnoteCharacters"/>
        </w:rPr>
        <w:footnoteRef/>
      </w:r>
      <w:r>
        <w:rPr>
          <w:sz w:val="24"/>
          <w:szCs w:val="24"/>
        </w:rPr>
        <w:t xml:space="preserve"> </w:t>
      </w:r>
      <w:r>
        <w:rPr>
          <w:sz w:val="24"/>
          <w:szCs w:val="24"/>
        </w:rPr>
        <w:t>Кроз радионице, анкете и јавне форуме и расправе али и кроз подстицање локалног становништва да учествује у креирању и промоцији догађаја који истичу дату територију.</w:t>
      </w:r>
    </w:p>
  </w:footnote>
</w:footnotes>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bullet"/>
      <w:lvlText w:val="●"/>
      <w:lvlJc w:val="left"/>
      <w:pPr>
        <w:tabs>
          <w:tab w:val="num" w:pos="0"/>
        </w:tabs>
        <w:ind w:left="720" w:hanging="360"/>
      </w:pPr>
      <w:rPr>
        <w:rFonts w:ascii="Noto Sans Symbols" w:hAnsi="Noto Sans Symbols" w:cs="Noto Sans Symbol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Noto Sans Symbols" w:hAnsi="Noto Sans Symbols" w:cs="Noto Sans Symbols" w:hint="default"/>
      </w:rPr>
    </w:lvl>
    <w:lvl w:ilvl="3">
      <w:start w:val="1"/>
      <w:numFmt w:val="bullet"/>
      <w:lvlText w:val="●"/>
      <w:lvlJc w:val="left"/>
      <w:pPr>
        <w:tabs>
          <w:tab w:val="num" w:pos="0"/>
        </w:tabs>
        <w:ind w:left="2880" w:hanging="360"/>
      </w:pPr>
      <w:rPr>
        <w:rFonts w:ascii="Noto Sans Symbols" w:hAnsi="Noto Sans Symbols" w:cs="Noto Sans Symbols"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Noto Sans Symbols" w:hAnsi="Noto Sans Symbols" w:cs="Noto Sans Symbols" w:hint="default"/>
      </w:rPr>
    </w:lvl>
    <w:lvl w:ilvl="6">
      <w:start w:val="1"/>
      <w:numFmt w:val="bullet"/>
      <w:lvlText w:val="●"/>
      <w:lvlJc w:val="left"/>
      <w:pPr>
        <w:tabs>
          <w:tab w:val="num" w:pos="0"/>
        </w:tabs>
        <w:ind w:left="5040" w:hanging="360"/>
      </w:pPr>
      <w:rPr>
        <w:rFonts w:ascii="Noto Sans Symbols" w:hAnsi="Noto Sans Symbols" w:cs="Noto Sans Symbols"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Noto Sans Symbols" w:hAnsi="Noto Sans Symbols" w:cs="Noto Sans Symbols" w:hint="default"/>
      </w:rPr>
    </w:lvl>
  </w:abstractNum>
  <w:abstractNum w:abstractNumId="2">
    <w:lvl w:ilvl="0">
      <w:start w:val="1"/>
      <w:numFmt w:val="decimal"/>
      <w:lvlText w:val="%1."/>
      <w:lvlJc w:val="left"/>
      <w:pPr>
        <w:tabs>
          <w:tab w:val="num" w:pos="0"/>
        </w:tabs>
        <w:ind w:left="720" w:hanging="360"/>
      </w:pPr>
      <w:rPr/>
    </w:lvl>
    <w:lvl w:ilvl="1">
      <w:start w:val="1"/>
      <w:numFmt w:val="decimal"/>
      <w:lvlText w:val="%1.%2"/>
      <w:lvlJc w:val="left"/>
      <w:pPr>
        <w:tabs>
          <w:tab w:val="num" w:pos="0"/>
        </w:tabs>
        <w:ind w:left="1160" w:hanging="440"/>
      </w:pPr>
      <w:rPr/>
    </w:lvl>
    <w:lvl w:ilvl="2">
      <w:start w:val="1"/>
      <w:numFmt w:val="decimal"/>
      <w:lvlText w:val="%1.%2.%3"/>
      <w:lvlJc w:val="left"/>
      <w:pPr>
        <w:tabs>
          <w:tab w:val="num" w:pos="0"/>
        </w:tabs>
        <w:ind w:left="1800" w:hanging="720"/>
      </w:pPr>
      <w:rPr/>
    </w:lvl>
    <w:lvl w:ilvl="3">
      <w:start w:val="1"/>
      <w:numFmt w:val="bullet"/>
      <w:lvlText w:val=""/>
      <w:lvlJc w:val="left"/>
      <w:pPr>
        <w:tabs>
          <w:tab w:val="num" w:pos="0"/>
        </w:tabs>
        <w:ind w:left="2160" w:hanging="720"/>
      </w:pPr>
      <w:rPr>
        <w:rFonts w:ascii="Wingdings" w:hAnsi="Wingdings" w:cs="Wingdings" w:hint="default"/>
      </w:rPr>
    </w:lvl>
    <w:lvl w:ilvl="4">
      <w:start w:val="1"/>
      <w:numFmt w:val="decimal"/>
      <w:lvlText w:val="%1.%2.%3.●.%5"/>
      <w:lvlJc w:val="left"/>
      <w:pPr>
        <w:tabs>
          <w:tab w:val="num" w:pos="0"/>
        </w:tabs>
        <w:ind w:left="2880" w:hanging="1080"/>
      </w:pPr>
      <w:rPr/>
    </w:lvl>
    <w:lvl w:ilvl="5">
      <w:start w:val="1"/>
      <w:numFmt w:val="decimal"/>
      <w:lvlText w:val="%1.%2.%3.●.%5.%6"/>
      <w:lvlJc w:val="left"/>
      <w:pPr>
        <w:tabs>
          <w:tab w:val="num" w:pos="0"/>
        </w:tabs>
        <w:ind w:left="3240" w:hanging="1080"/>
      </w:pPr>
      <w:rPr/>
    </w:lvl>
    <w:lvl w:ilvl="6">
      <w:start w:val="1"/>
      <w:numFmt w:val="decimal"/>
      <w:lvlText w:val="%1.%2.%3.●.%5.%6.%7"/>
      <w:lvlJc w:val="left"/>
      <w:pPr>
        <w:tabs>
          <w:tab w:val="num" w:pos="0"/>
        </w:tabs>
        <w:ind w:left="3960" w:hanging="1440"/>
      </w:pPr>
      <w:rPr/>
    </w:lvl>
    <w:lvl w:ilvl="7">
      <w:start w:val="1"/>
      <w:numFmt w:val="decimal"/>
      <w:lvlText w:val="%1.%2.%3.●.%5.%6.%7.%8"/>
      <w:lvlJc w:val="left"/>
      <w:pPr>
        <w:tabs>
          <w:tab w:val="num" w:pos="0"/>
        </w:tabs>
        <w:ind w:left="4320" w:hanging="1440"/>
      </w:pPr>
      <w:rPr/>
    </w:lvl>
    <w:lvl w:ilvl="8">
      <w:start w:val="1"/>
      <w:numFmt w:val="decimal"/>
      <w:lvlText w:val="%1.%2.%3.●.%5.%6.%7.%8.%9"/>
      <w:lvlJc w:val="left"/>
      <w:pPr>
        <w:tabs>
          <w:tab w:val="num" w:pos="0"/>
        </w:tabs>
        <w:ind w:left="5040" w:hanging="1800"/>
      </w:pPr>
      <w:rPr/>
    </w:lvl>
  </w:abstractNum>
  <w:abstractNum w:abstractNumId="3">
    <w:lvl w:ilvl="0">
      <w:start w:val="1"/>
      <w:numFmt w:val="bullet"/>
      <w:lvlText w:val="▪"/>
      <w:lvlJc w:val="left"/>
      <w:pPr>
        <w:tabs>
          <w:tab w:val="num" w:pos="0"/>
        </w:tabs>
        <w:ind w:left="720" w:hanging="360"/>
      </w:pPr>
      <w:rPr>
        <w:rFonts w:ascii="Noto Sans Symbols" w:hAnsi="Noto Sans Symbols" w:cs="Noto Sans Symbol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Noto Sans Symbols" w:hAnsi="Noto Sans Symbols" w:cs="Noto Sans Symbols" w:hint="default"/>
      </w:rPr>
    </w:lvl>
    <w:lvl w:ilvl="3">
      <w:start w:val="1"/>
      <w:numFmt w:val="bullet"/>
      <w:lvlText w:val="●"/>
      <w:lvlJc w:val="left"/>
      <w:pPr>
        <w:tabs>
          <w:tab w:val="num" w:pos="0"/>
        </w:tabs>
        <w:ind w:left="2880" w:hanging="360"/>
      </w:pPr>
      <w:rPr>
        <w:rFonts w:ascii="Noto Sans Symbols" w:hAnsi="Noto Sans Symbols" w:cs="Noto Sans Symbols"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Noto Sans Symbols" w:hAnsi="Noto Sans Symbols" w:cs="Noto Sans Symbols" w:hint="default"/>
      </w:rPr>
    </w:lvl>
    <w:lvl w:ilvl="6">
      <w:start w:val="1"/>
      <w:numFmt w:val="bullet"/>
      <w:lvlText w:val="●"/>
      <w:lvlJc w:val="left"/>
      <w:pPr>
        <w:tabs>
          <w:tab w:val="num" w:pos="0"/>
        </w:tabs>
        <w:ind w:left="5040" w:hanging="360"/>
      </w:pPr>
      <w:rPr>
        <w:rFonts w:ascii="Noto Sans Symbols" w:hAnsi="Noto Sans Symbols" w:cs="Noto Sans Symbols"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Noto Sans Symbols" w:hAnsi="Noto Sans Symbols" w:cs="Noto Sans Symbols" w:hint="default"/>
      </w:rPr>
    </w:lvl>
  </w:abstractNum>
  <w:abstractNum w:abstractNumId="4">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bering>
</file>

<file path=word/settings.xml><?xml version="1.0" encoding="utf-8"?>
<w:settings xmlns:w="http://schemas.openxmlformats.org/wordprocessingml/2006/main">
  <w:zoom w:percent="100"/>
  <w:embedTrueTypeFonts/>
  <w:defaultTabStop w:val="720"/>
  <w:autoHyphenation w:val="true"/>
  <w:footnotePr>
    <w:numFmt w:val="decimal"/>
    <w:footnote w:id="0"/>
    <w:footnote w:id="1"/>
  </w:foot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themeFontLang w:val="en-US"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Calibri"/>
        <w:sz w:val="22"/>
        <w:szCs w:val="22"/>
        <w:lang w:val="sr-Latn-RS" w:eastAsia="en-US" w:bidi="ar-SA"/>
      </w:rPr>
    </w:rPrDefault>
    <w:pPrDefault>
      <w:pPr>
        <w:suppressAutoHyphens w:val="true"/>
      </w:pPr>
    </w:pPrDefault>
  </w:docDefaults>
  <w:latentStyles w:defLockedState="0" w:defUIPriority="99" w:defSemiHidden="1" w:defUnhideWhenUsed="1" w:defQFormat="0" w:count="267">
    <w:lsdException w:name="Normal" w:uiPriority="0" w:semiHidden="0" w:unhideWhenUsed="0" w:qFormat="1"/>
    <w:lsdException w:name="heading 1" w:uiPriority="9"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uiPriority="10" w:semiHidden="0" w:unhideWhenUsed="0" w:qFormat="1"/>
    <w:lsdException w:name="Default Paragraph Font" w:uiPriority="1"/>
    <w:lsdException w:name="Subtitle" w:uiPriority="11" w:semiHidden="0" w:unhideWhenUsed="0" w:qFormat="1"/>
    <w:lsdException w:name="Strong" w:uiPriority="22" w:semiHidden="0" w:unhideWhenUsed="0" w:qFormat="1"/>
    <w:lsdException w:name="Emphasis" w:uiPriority="20" w:semiHidden="0" w:unhideWhenUsed="0" w:qFormat="1"/>
    <w:lsdException w:name="Table Grid" w:uiPriority="39" w:semiHidden="0" w:unhideWhenUsed="0"/>
    <w:lsdException w:name="Placeholder Text" w:unhideWhenUsed="0"/>
    <w:lsdException w:name="No Spacing" w:uiPriority="1" w:semiHidden="0" w:unhideWhenUsed="0" w:qFormat="1"/>
    <w:lsdException w:name="Light Shading" w:uiPriority="60" w:semiHidden="0" w:unhideWhenUsed="0"/>
    <w:lsdException w:name="Light List" w:uiPriority="61" w:semiHidden="0" w:unhideWhenUsed="0"/>
    <w:lsdException w:name="Light Grid" w:uiPriority="62" w:semiHidden="0" w:unhideWhenUsed="0"/>
    <w:lsdException w:name="Medium Shading 1" w:uiPriority="63" w:semiHidden="0" w:unhideWhenUsed="0"/>
    <w:lsdException w:name="Medium Shading 2" w:uiPriority="64" w:semiHidden="0" w:unhideWhenUsed="0"/>
    <w:lsdException w:name="Medium List 1" w:uiPriority="65" w:semiHidden="0" w:unhideWhenUsed="0"/>
    <w:lsdException w:name="Medium List 2" w:uiPriority="66" w:semiHidden="0" w:unhideWhenUsed="0"/>
    <w:lsdException w:name="Medium Grid 1" w:uiPriority="67" w:semiHidden="0" w:unhideWhenUsed="0"/>
    <w:lsdException w:name="Medium Grid 2" w:uiPriority="68" w:semiHidden="0" w:unhideWhenUsed="0"/>
    <w:lsdException w:name="Medium Grid 3" w:uiPriority="69" w:semiHidden="0" w:unhideWhenUsed="0"/>
    <w:lsdException w:name="Dark List" w:uiPriority="70" w:semiHidden="0" w:unhideWhenUsed="0"/>
    <w:lsdException w:name="Colorful Shading" w:uiPriority="71" w:semiHidden="0" w:unhideWhenUsed="0"/>
    <w:lsdException w:name="Colorful List" w:uiPriority="72" w:semiHidden="0" w:unhideWhenUsed="0"/>
    <w:lsdException w:name="Colorful Grid" w:uiPriority="73" w:semiHidden="0" w:unhideWhenUsed="0"/>
    <w:lsdException w:name="Light Shading Accent 1" w:uiPriority="60" w:semiHidden="0" w:unhideWhenUsed="0"/>
    <w:lsdException w:name="Light List Accent 1" w:uiPriority="61" w:semiHidden="0" w:unhideWhenUsed="0"/>
    <w:lsdException w:name="Light Grid Accent 1" w:uiPriority="62" w:semiHidden="0" w:unhideWhenUsed="0"/>
    <w:lsdException w:name="Medium Shading 1 Accent 1" w:uiPriority="63" w:semiHidden="0" w:unhideWhenUsed="0"/>
    <w:lsdException w:name="Medium Shading 2 Accent 1" w:uiPriority="64" w:semiHidden="0" w:unhideWhenUsed="0"/>
    <w:lsdException w:name="Medium List 1 Accent 1" w:uiPriority="65" w:semiHidden="0" w:unhideWhenUsed="0"/>
    <w:lsdException w:name="Revision" w:unhideWhenUsed="0"/>
    <w:lsdException w:name="List Paragraph" w:uiPriority="34" w:semiHidden="0" w:unhideWhenUsed="0" w:qFormat="1"/>
    <w:lsdException w:name="Quote" w:uiPriority="29" w:semiHidden="0" w:unhideWhenUsed="0" w:qFormat="1"/>
    <w:lsdException w:name="Intense Quote" w:uiPriority="30" w:semiHidden="0" w:unhideWhenUsed="0" w:qFormat="1"/>
    <w:lsdException w:name="Medium List 2 Accent 1" w:uiPriority="66" w:semiHidden="0" w:unhideWhenUsed="0"/>
    <w:lsdException w:name="Medium Grid 1 Accent 1" w:uiPriority="67" w:semiHidden="0" w:unhideWhenUsed="0"/>
    <w:lsdException w:name="Medium Grid 2 Accent 1" w:uiPriority="68" w:semiHidden="0" w:unhideWhenUsed="0"/>
    <w:lsdException w:name="Medium Grid 3 Accent 1" w:uiPriority="69" w:semiHidden="0" w:unhideWhenUsed="0"/>
    <w:lsdException w:name="Dark List Accent 1" w:uiPriority="70" w:semiHidden="0" w:unhideWhenUsed="0"/>
    <w:lsdException w:name="Colorful Shading Accent 1" w:uiPriority="71" w:semiHidden="0" w:unhideWhenUsed="0"/>
    <w:lsdException w:name="Colorful List Accent 1" w:uiPriority="72" w:semiHidden="0" w:unhideWhenUsed="0"/>
    <w:lsdException w:name="Colorful Grid Accent 1" w:uiPriority="73" w:semiHidden="0" w:unhideWhenUsed="0"/>
    <w:lsdException w:name="Light Shading Accent 2" w:uiPriority="60" w:semiHidden="0" w:unhideWhenUsed="0"/>
    <w:lsdException w:name="Light List Accent 2" w:uiPriority="61" w:semiHidden="0" w:unhideWhenUsed="0"/>
    <w:lsdException w:name="Light Grid Accent 2" w:uiPriority="62" w:semiHidden="0" w:unhideWhenUsed="0"/>
    <w:lsdException w:name="Medium Shading 1 Accent 2" w:uiPriority="63" w:semiHidden="0" w:unhideWhenUsed="0"/>
    <w:lsdException w:name="Medium Shading 2 Accent 2" w:uiPriority="64" w:semiHidden="0" w:unhideWhenUsed="0"/>
    <w:lsdException w:name="Medium List 1 Accent 2" w:uiPriority="65" w:semiHidden="0" w:unhideWhenUsed="0"/>
    <w:lsdException w:name="Medium List 2 Accent 2" w:uiPriority="66" w:semiHidden="0" w:unhideWhenUsed="0"/>
    <w:lsdException w:name="Medium Grid 1 Accent 2" w:uiPriority="67" w:semiHidden="0" w:unhideWhenUsed="0"/>
    <w:lsdException w:name="Medium Grid 2 Accent 2" w:uiPriority="68" w:semiHidden="0" w:unhideWhenUsed="0"/>
    <w:lsdException w:name="Medium Grid 3 Accent 2" w:uiPriority="69" w:semiHidden="0" w:unhideWhenUsed="0"/>
    <w:lsdException w:name="Dark List Accent 2" w:uiPriority="70" w:semiHidden="0" w:unhideWhenUsed="0"/>
    <w:lsdException w:name="Colorful Shading Accent 2" w:uiPriority="71" w:semiHidden="0" w:unhideWhenUsed="0"/>
    <w:lsdException w:name="Colorful List Accent 2" w:uiPriority="72" w:semiHidden="0" w:unhideWhenUsed="0"/>
    <w:lsdException w:name="Colorful Grid Accent 2" w:uiPriority="73" w:semiHidden="0" w:unhideWhenUsed="0"/>
    <w:lsdException w:name="Light Shading Accent 3" w:uiPriority="60" w:semiHidden="0" w:unhideWhenUsed="0"/>
    <w:lsdException w:name="Light List Accent 3" w:uiPriority="61" w:semiHidden="0" w:unhideWhenUsed="0"/>
    <w:lsdException w:name="Light Grid Accent 3" w:uiPriority="62" w:semiHidden="0" w:unhideWhenUsed="0"/>
    <w:lsdException w:name="Medium Shading 1 Accent 3" w:uiPriority="63" w:semiHidden="0" w:unhideWhenUsed="0"/>
    <w:lsdException w:name="Medium Shading 2 Accent 3" w:uiPriority="64" w:semiHidden="0" w:unhideWhenUsed="0"/>
    <w:lsdException w:name="Medium List 1 Accent 3" w:uiPriority="65" w:semiHidden="0" w:unhideWhenUsed="0"/>
    <w:lsdException w:name="Medium List 2 Accent 3" w:uiPriority="66" w:semiHidden="0" w:unhideWhenUsed="0"/>
    <w:lsdException w:name="Medium Grid 1 Accent 3" w:uiPriority="67" w:semiHidden="0" w:unhideWhenUsed="0"/>
    <w:lsdException w:name="Medium Grid 2 Accent 3" w:uiPriority="68" w:semiHidden="0" w:unhideWhenUsed="0"/>
    <w:lsdException w:name="Medium Grid 3 Accent 3" w:uiPriority="69" w:semiHidden="0" w:unhideWhenUsed="0"/>
    <w:lsdException w:name="Dark List Accent 3" w:uiPriority="70" w:semiHidden="0" w:unhideWhenUsed="0"/>
    <w:lsdException w:name="Colorful Shading Accent 3" w:uiPriority="71" w:semiHidden="0" w:unhideWhenUsed="0"/>
    <w:lsdException w:name="Colorful List Accent 3" w:uiPriority="72" w:semiHidden="0" w:unhideWhenUsed="0"/>
    <w:lsdException w:name="Colorful Grid Accent 3" w:uiPriority="73" w:semiHidden="0" w:unhideWhenUsed="0"/>
    <w:lsdException w:name="Light Shading Accent 4" w:uiPriority="60" w:semiHidden="0" w:unhideWhenUsed="0"/>
    <w:lsdException w:name="Light List Accent 4" w:uiPriority="61" w:semiHidden="0" w:unhideWhenUsed="0"/>
    <w:lsdException w:name="Light Grid Accent 4" w:uiPriority="62" w:semiHidden="0" w:unhideWhenUsed="0"/>
    <w:lsdException w:name="Medium Shading 1 Accent 4" w:uiPriority="63" w:semiHidden="0" w:unhideWhenUsed="0"/>
    <w:lsdException w:name="Medium Shading 2 Accent 4" w:uiPriority="64" w:semiHidden="0" w:unhideWhenUsed="0"/>
    <w:lsdException w:name="Medium List 1 Accent 4" w:uiPriority="65" w:semiHidden="0" w:unhideWhenUsed="0"/>
    <w:lsdException w:name="Medium List 2 Accent 4" w:uiPriority="66" w:semiHidden="0" w:unhideWhenUsed="0"/>
    <w:lsdException w:name="Medium Grid 1 Accent 4" w:uiPriority="67" w:semiHidden="0" w:unhideWhenUsed="0"/>
    <w:lsdException w:name="Medium Grid 2 Accent 4" w:uiPriority="68" w:semiHidden="0" w:unhideWhenUsed="0"/>
    <w:lsdException w:name="Medium Grid 3 Accent 4" w:uiPriority="69" w:semiHidden="0" w:unhideWhenUsed="0"/>
    <w:lsdException w:name="Dark List Accent 4" w:uiPriority="70" w:semiHidden="0" w:unhideWhenUsed="0"/>
    <w:lsdException w:name="Colorful Shading Accent 4" w:uiPriority="71" w:semiHidden="0" w:unhideWhenUsed="0"/>
    <w:lsdException w:name="Colorful List Accent 4" w:uiPriority="72" w:semiHidden="0" w:unhideWhenUsed="0"/>
    <w:lsdException w:name="Colorful Grid Accent 4" w:uiPriority="73" w:semiHidden="0" w:unhideWhenUsed="0"/>
    <w:lsdException w:name="Light Shading Accent 5" w:uiPriority="60" w:semiHidden="0" w:unhideWhenUsed="0"/>
    <w:lsdException w:name="Light List Accent 5" w:uiPriority="61" w:semiHidden="0" w:unhideWhenUsed="0"/>
    <w:lsdException w:name="Light Grid Accent 5" w:uiPriority="62" w:semiHidden="0" w:unhideWhenUsed="0"/>
    <w:lsdException w:name="Medium Shading 1 Accent 5" w:uiPriority="63" w:semiHidden="0" w:unhideWhenUsed="0"/>
    <w:lsdException w:name="Medium Shading 2 Accent 5" w:uiPriority="64" w:semiHidden="0" w:unhideWhenUsed="0"/>
    <w:lsdException w:name="Medium List 1 Accent 5" w:uiPriority="65" w:semiHidden="0" w:unhideWhenUsed="0"/>
    <w:lsdException w:name="Medium List 2 Accent 5" w:uiPriority="66" w:semiHidden="0" w:unhideWhenUsed="0"/>
    <w:lsdException w:name="Medium Grid 1 Accent 5" w:uiPriority="67" w:semiHidden="0" w:unhideWhenUsed="0"/>
    <w:lsdException w:name="Medium Grid 2 Accent 5" w:uiPriority="68" w:semiHidden="0" w:unhideWhenUsed="0"/>
    <w:lsdException w:name="Medium Grid 3 Accent 5" w:uiPriority="69" w:semiHidden="0" w:unhideWhenUsed="0"/>
    <w:lsdException w:name="Dark List Accent 5" w:uiPriority="70" w:semiHidden="0" w:unhideWhenUsed="0"/>
    <w:lsdException w:name="Colorful Shading Accent 5" w:uiPriority="71" w:semiHidden="0" w:unhideWhenUsed="0"/>
    <w:lsdException w:name="Colorful List Accent 5" w:uiPriority="72" w:semiHidden="0" w:unhideWhenUsed="0"/>
    <w:lsdException w:name="Colorful Grid Accent 5" w:uiPriority="73" w:semiHidden="0" w:unhideWhenUsed="0"/>
    <w:lsdException w:name="Light Shading Accent 6" w:uiPriority="60" w:semiHidden="0" w:unhideWhenUsed="0"/>
    <w:lsdException w:name="Light List Accent 6" w:uiPriority="61" w:semiHidden="0" w:unhideWhenUsed="0"/>
    <w:lsdException w:name="Light Grid Accent 6" w:uiPriority="62" w:semiHidden="0" w:unhideWhenUsed="0"/>
    <w:lsdException w:name="Medium Shading 1 Accent 6" w:uiPriority="63" w:semiHidden="0" w:unhideWhenUsed="0"/>
    <w:lsdException w:name="Medium Shading 2 Accent 6" w:uiPriority="64" w:semiHidden="0" w:unhideWhenUsed="0"/>
    <w:lsdException w:name="Medium List 1 Accent 6" w:uiPriority="65" w:semiHidden="0" w:unhideWhenUsed="0"/>
    <w:lsdException w:name="Medium List 2 Accent 6" w:uiPriority="66" w:semiHidden="0" w:unhideWhenUsed="0"/>
    <w:lsdException w:name="Medium Grid 1 Accent 6" w:uiPriority="67" w:semiHidden="0" w:unhideWhenUsed="0"/>
    <w:lsdException w:name="Medium Grid 2 Accent 6" w:uiPriority="68" w:semiHidden="0" w:unhideWhenUsed="0"/>
    <w:lsdException w:name="Medium Grid 3 Accent 6" w:uiPriority="69" w:semiHidden="0" w:unhideWhenUsed="0"/>
    <w:lsdException w:name="Dark List Accent 6" w:uiPriority="70" w:semiHidden="0" w:unhideWhenUsed="0"/>
    <w:lsdException w:name="Colorful Shading Accent 6" w:uiPriority="71" w:semiHidden="0" w:unhideWhenUsed="0"/>
    <w:lsdException w:name="Colorful List Accent 6" w:uiPriority="72" w:semiHidden="0" w:unhideWhenUsed="0"/>
    <w:lsdException w:name="Colorful Grid Accent 6" w:uiPriority="73" w:semiHidden="0" w:unhideWhenUsed="0"/>
    <w:lsdException w:name="Subtle Emphasis" w:uiPriority="19" w:semiHidden="0" w:unhideWhenUsed="0" w:qFormat="1"/>
    <w:lsdException w:name="Intense Emphasis" w:uiPriority="21" w:semiHidden="0" w:unhideWhenUsed="0" w:qFormat="1"/>
    <w:lsdException w:name="Subtle Reference" w:uiPriority="31" w:semiHidden="0" w:unhideWhenUsed="0" w:qFormat="1"/>
    <w:lsdException w:name="Intense Reference" w:uiPriority="32" w:semiHidden="0" w:unhideWhenUsed="0" w:qFormat="1"/>
    <w:lsdException w:name="Book Title" w:uiPriority="33" w:semiHidden="0" w:unhideWhenUsed="0" w:qFormat="1"/>
    <w:lsdException w:name="Bibliography" w:uiPriority="37"/>
    <w:lsdException w:name="TOC Heading" w:uiPriority="39" w:qFormat="1"/>
  </w:latentStyles>
  <w:style w:type="paragraph" w:styleId="Normal" w:default="1">
    <w:name w:val="Normal"/>
    <w:qFormat/>
    <w:pPr>
      <w:widowControl/>
      <w:bidi w:val="0"/>
      <w:spacing w:lineRule="auto" w:line="276" w:before="0" w:after="200"/>
      <w:jc w:val="left"/>
    </w:pPr>
    <w:rPr>
      <w:rFonts w:ascii="Calibri" w:hAnsi="Calibri" w:eastAsia="Calibri" w:cs="Calibri"/>
      <w:color w:val="auto"/>
      <w:kern w:val="0"/>
      <w:sz w:val="22"/>
      <w:szCs w:val="22"/>
      <w:lang w:val="sr-Latn-RS" w:eastAsia="en-US" w:bidi="ar-SA"/>
    </w:rPr>
  </w:style>
  <w:style w:type="paragraph" w:styleId="Heading1">
    <w:name w:val="Heading 1"/>
    <w:basedOn w:val="Normal"/>
    <w:next w:val="Normal"/>
    <w:uiPriority w:val="9"/>
    <w:qFormat/>
    <w:pPr>
      <w:keepNext w:val="true"/>
      <w:keepLines/>
      <w:spacing w:before="480" w:after="120"/>
      <w:outlineLvl w:val="0"/>
    </w:pPr>
    <w:rPr>
      <w:b/>
      <w:sz w:val="48"/>
      <w:szCs w:val="48"/>
    </w:rPr>
  </w:style>
  <w:style w:type="paragraph" w:styleId="Heading2">
    <w:name w:val="Heading 2"/>
    <w:basedOn w:val="Normal"/>
    <w:next w:val="Normal"/>
    <w:uiPriority w:val="9"/>
    <w:semiHidden/>
    <w:unhideWhenUsed/>
    <w:qFormat/>
    <w:pPr>
      <w:keepNext w:val="true"/>
      <w:keepLines/>
      <w:spacing w:before="360" w:after="80"/>
      <w:outlineLvl w:val="1"/>
    </w:pPr>
    <w:rPr>
      <w:b/>
      <w:sz w:val="36"/>
      <w:szCs w:val="36"/>
    </w:rPr>
  </w:style>
  <w:style w:type="paragraph" w:styleId="Heading3">
    <w:name w:val="Heading 3"/>
    <w:basedOn w:val="Normal"/>
    <w:next w:val="Normal"/>
    <w:uiPriority w:val="9"/>
    <w:semiHidden/>
    <w:unhideWhenUsed/>
    <w:qFormat/>
    <w:pPr>
      <w:keepNext w:val="true"/>
      <w:keepLines/>
      <w:spacing w:before="280" w:after="80"/>
      <w:outlineLvl w:val="2"/>
    </w:pPr>
    <w:rPr>
      <w:b/>
      <w:sz w:val="28"/>
      <w:szCs w:val="28"/>
    </w:rPr>
  </w:style>
  <w:style w:type="paragraph" w:styleId="Heading4">
    <w:name w:val="Heading 4"/>
    <w:basedOn w:val="Normal"/>
    <w:next w:val="Normal"/>
    <w:uiPriority w:val="9"/>
    <w:semiHidden/>
    <w:unhideWhenUsed/>
    <w:qFormat/>
    <w:pPr>
      <w:keepNext w:val="true"/>
      <w:keepLines/>
      <w:spacing w:before="240" w:after="40"/>
      <w:outlineLvl w:val="3"/>
    </w:pPr>
    <w:rPr>
      <w:b/>
      <w:sz w:val="24"/>
      <w:szCs w:val="24"/>
    </w:rPr>
  </w:style>
  <w:style w:type="paragraph" w:styleId="Heading5">
    <w:name w:val="Heading 5"/>
    <w:basedOn w:val="Normal"/>
    <w:next w:val="Normal"/>
    <w:uiPriority w:val="9"/>
    <w:semiHidden/>
    <w:unhideWhenUsed/>
    <w:qFormat/>
    <w:pPr>
      <w:keepNext w:val="true"/>
      <w:keepLines/>
      <w:spacing w:before="220" w:after="40"/>
      <w:outlineLvl w:val="4"/>
    </w:pPr>
    <w:rPr>
      <w:b/>
    </w:rPr>
  </w:style>
  <w:style w:type="paragraph" w:styleId="Heading6">
    <w:name w:val="Heading 6"/>
    <w:basedOn w:val="Normal"/>
    <w:next w:val="Normal"/>
    <w:uiPriority w:val="9"/>
    <w:semiHidden/>
    <w:unhideWhenUsed/>
    <w:qFormat/>
    <w:pPr>
      <w:keepNext w:val="true"/>
      <w:keepLines/>
      <w:spacing w:before="200" w:after="40"/>
      <w:outlineLvl w:val="5"/>
    </w:pPr>
    <w:rPr>
      <w:b/>
      <w:sz w:val="20"/>
      <w:szCs w:val="20"/>
    </w:rPr>
  </w:style>
  <w:style w:type="character" w:styleId="DefaultParagraphFont" w:default="1">
    <w:name w:val="Default Paragraph Font"/>
    <w:uiPriority w:val="1"/>
    <w:semiHidden/>
    <w:unhideWhenUsed/>
    <w:qFormat/>
    <w:rPr/>
  </w:style>
  <w:style w:type="character" w:styleId="CommentTextChar" w:customStyle="1">
    <w:name w:val="Comment Text Char"/>
    <w:basedOn w:val="DefaultParagraphFont"/>
    <w:link w:val="Annotationtext"/>
    <w:uiPriority w:val="99"/>
    <w:semiHidden/>
    <w:qFormat/>
    <w:rPr>
      <w:sz w:val="20"/>
      <w:szCs w:val="20"/>
    </w:rPr>
  </w:style>
  <w:style w:type="character" w:styleId="Annotationreference">
    <w:name w:val="annotation reference"/>
    <w:basedOn w:val="DefaultParagraphFont"/>
    <w:uiPriority w:val="99"/>
    <w:semiHidden/>
    <w:unhideWhenUsed/>
    <w:qFormat/>
    <w:rPr>
      <w:sz w:val="16"/>
      <w:szCs w:val="16"/>
    </w:rPr>
  </w:style>
  <w:style w:type="character" w:styleId="InternetLink">
    <w:name w:val="Hyperlink"/>
    <w:rPr>
      <w:color w:val="000080"/>
      <w:u w:val="single"/>
      <w:lang w:val="zxx" w:eastAsia="zxx" w:bidi="zxx"/>
    </w:rPr>
  </w:style>
  <w:style w:type="character" w:styleId="FootnoteCharacters">
    <w:name w:val="Footnote Characters"/>
    <w:qFormat/>
    <w:rPr/>
  </w:style>
  <w:style w:type="character" w:styleId="FootnoteAnchor">
    <w:name w:val="Footnote Anchor"/>
    <w:rPr>
      <w:vertAlign w:val="superscript"/>
    </w:rPr>
  </w:style>
  <w:style w:type="character" w:styleId="EndnoteAnchor">
    <w:name w:val="Endnote Anchor"/>
    <w:rPr>
      <w:vertAlign w:val="superscript"/>
    </w:rPr>
  </w:style>
  <w:style w:type="character" w:styleId="EndnoteCharacters">
    <w:name w:val="Endnote Characters"/>
    <w:qFormat/>
    <w:rPr/>
  </w:style>
  <w:style w:type="paragraph" w:styleId="Heading">
    <w:name w:val="Heading"/>
    <w:basedOn w:val="Normal"/>
    <w:next w:val="TextBody"/>
    <w:qFormat/>
    <w:pPr>
      <w:keepNext w:val="true"/>
      <w:spacing w:before="240" w:after="120"/>
    </w:pPr>
    <w:rPr>
      <w:rFonts w:ascii="Liberation Sans" w:hAnsi="Liberation Sans" w:eastAsia="Microsoft YaHei" w:cs="Lucida Sans"/>
      <w:sz w:val="28"/>
      <w:szCs w:val="28"/>
    </w:rPr>
  </w:style>
  <w:style w:type="paragraph" w:styleId="TextBody">
    <w:name w:val="Body Text"/>
    <w:basedOn w:val="Normal"/>
    <w:pPr>
      <w:spacing w:lineRule="auto" w:line="276" w:before="0" w:after="140"/>
    </w:pPr>
    <w:rPr/>
  </w:style>
  <w:style w:type="paragraph" w:styleId="List">
    <w:name w:val="List"/>
    <w:basedOn w:val="TextBody"/>
    <w:pPr/>
    <w:rPr>
      <w:rFonts w:cs="Lucida Sans"/>
    </w:rPr>
  </w:style>
  <w:style w:type="paragraph" w:styleId="Caption">
    <w:name w:val="Caption"/>
    <w:basedOn w:val="Normal"/>
    <w:qFormat/>
    <w:pPr>
      <w:suppressLineNumbers/>
      <w:spacing w:before="120" w:after="120"/>
    </w:pPr>
    <w:rPr>
      <w:rFonts w:cs="Lucida Sans"/>
      <w:i/>
      <w:iCs/>
      <w:sz w:val="24"/>
      <w:szCs w:val="24"/>
    </w:rPr>
  </w:style>
  <w:style w:type="paragraph" w:styleId="Index">
    <w:name w:val="Index"/>
    <w:basedOn w:val="Normal"/>
    <w:qFormat/>
    <w:pPr>
      <w:suppressLineNumbers/>
    </w:pPr>
    <w:rPr>
      <w:rFonts w:cs="Lucida Sans"/>
      <w:lang w:val="zxx" w:eastAsia="zxx" w:bidi="zxx"/>
    </w:rPr>
  </w:style>
  <w:style w:type="paragraph" w:styleId="Title">
    <w:name w:val="Title"/>
    <w:basedOn w:val="Normal"/>
    <w:next w:val="Normal"/>
    <w:uiPriority w:val="10"/>
    <w:qFormat/>
    <w:pPr>
      <w:keepNext w:val="true"/>
      <w:keepLines/>
      <w:spacing w:before="480" w:after="120"/>
    </w:pPr>
    <w:rPr>
      <w:b/>
      <w:sz w:val="72"/>
      <w:szCs w:val="72"/>
    </w:rPr>
  </w:style>
  <w:style w:type="paragraph" w:styleId="Subtitle">
    <w:name w:val="Subtitle"/>
    <w:basedOn w:val="Normal"/>
    <w:next w:val="Normal"/>
    <w:uiPriority w:val="11"/>
    <w:qFormat/>
    <w:pPr>
      <w:keepNext w:val="true"/>
      <w:keepLines/>
      <w:spacing w:before="360" w:after="80"/>
    </w:pPr>
    <w:rPr>
      <w:rFonts w:ascii="Georgia" w:hAnsi="Georgia" w:eastAsia="Georgia" w:cs="Georgia"/>
      <w:i/>
      <w:color w:val="666666"/>
      <w:sz w:val="48"/>
      <w:szCs w:val="48"/>
    </w:rPr>
  </w:style>
  <w:style w:type="paragraph" w:styleId="Annotationtext">
    <w:name w:val="annotation text"/>
    <w:basedOn w:val="Normal"/>
    <w:link w:val="CommentTextChar"/>
    <w:uiPriority w:val="99"/>
    <w:semiHidden/>
    <w:unhideWhenUsed/>
    <w:qFormat/>
    <w:pPr>
      <w:spacing w:lineRule="auto" w:line="240"/>
    </w:pPr>
    <w:rPr>
      <w:sz w:val="20"/>
      <w:szCs w:val="20"/>
    </w:rPr>
  </w:style>
  <w:style w:type="paragraph" w:styleId="Revision">
    <w:name w:val="Revision"/>
    <w:uiPriority w:val="99"/>
    <w:semiHidden/>
    <w:qFormat/>
    <w:rsid w:val="006e1e4c"/>
    <w:pPr>
      <w:widowControl/>
      <w:bidi w:val="0"/>
      <w:spacing w:lineRule="auto" w:line="240" w:before="0" w:after="0"/>
      <w:jc w:val="left"/>
    </w:pPr>
    <w:rPr>
      <w:rFonts w:ascii="Calibri" w:hAnsi="Calibri" w:eastAsia="Calibri" w:cs="Calibri"/>
      <w:color w:val="auto"/>
      <w:kern w:val="0"/>
      <w:sz w:val="22"/>
      <w:szCs w:val="22"/>
      <w:lang w:val="sr-Latn-RS" w:eastAsia="en-US" w:bidi="ar-SA"/>
    </w:rPr>
  </w:style>
  <w:style w:type="paragraph" w:styleId="Footnote">
    <w:name w:val="Footnote Text"/>
    <w:basedOn w:val="Normal"/>
    <w:pPr/>
    <w:rPr/>
  </w:style>
  <w:style w:type="numbering" w:styleId="NoList" w:default="1">
    <w:name w:val="No List"/>
    <w:uiPriority w:val="99"/>
    <w:semiHidden/>
    <w:unhideWhenUsed/>
    <w:qFormat/>
  </w:style>
  <w:style w:type="table" w:default="1" w:styleId="TableNormal">
    <w:name w:val="Normal Table"/>
    <w:uiPriority w:val="99"/>
    <w:semiHidden/>
    <w:unhideWhenUsed/>
    <w:tblPr>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yperlink" Target="http://www.zajecar.info/index.php/strategija-razvoja-urbanog-podrucja-grada-zajecara-i-opstina-knjazevac-boljevac-i-sokobanja" TargetMode="External"/><Relationship Id="rId3" Type="http://schemas.openxmlformats.org/officeDocument/2006/relationships/footnotes" Target="footnotes.xml"/><Relationship Id="rId4" Type="http://schemas.openxmlformats.org/officeDocument/2006/relationships/numbering" Target="numbering.xml"/><Relationship Id="rId5" Type="http://schemas.openxmlformats.org/officeDocument/2006/relationships/fontTable" Target="fontTable.xml"/><Relationship Id="rId6" Type="http://schemas.openxmlformats.org/officeDocument/2006/relationships/settings" Target="settings.xml"/><Relationship Id="rId7" Type="http://schemas.openxmlformats.org/officeDocument/2006/relationships/theme" Target="theme/theme1.xml"/>
</Relationships>
</file>

<file path=word/_rels/fontTable.xml.rels><?xml version="1.0" encoding="UTF-8"?>
<Relationships xmlns="http://schemas.openxmlformats.org/package/2006/relationships"><Relationship Id="rId1" Type="http://schemas.openxmlformats.org/officeDocument/2006/relationships/font" Target="fonts/font1.odttf"/><Relationship Id="rId2" Type="http://schemas.openxmlformats.org/officeDocument/2006/relationships/font" Target="fonts/font2.odttf"/><Relationship Id="rId3" Type="http://schemas.openxmlformats.org/officeDocument/2006/relationships/font" Target="fonts/font3.odttf"/><Relationship Id="rId4" Type="http://schemas.openxmlformats.org/officeDocument/2006/relationships/font" Target="fonts/font4.odttf"/><Relationship Id="rId5" Type="http://schemas.openxmlformats.org/officeDocument/2006/relationships/font" Target="fonts/font5.odttf"/><Relationship Id="rId6" Type="http://schemas.openxmlformats.org/officeDocument/2006/relationships/font" Target="fonts/font6.odttf"/><Relationship Id="rId7" Type="http://schemas.openxmlformats.org/officeDocument/2006/relationships/font" Target="fonts/font7.odttf"/><Relationship Id="rId8" Type="http://schemas.openxmlformats.org/officeDocument/2006/relationships/font" Target="fonts/font8.odttf"/><Relationship Id="rId9" Type="http://schemas.openxmlformats.org/officeDocument/2006/relationships/font" Target="fonts/font9.odttf"/><Relationship Id="rId10" Type="http://schemas.openxmlformats.org/officeDocument/2006/relationships/font" Target="fonts/font10.odttf"/><Relationship Id="rId11" Type="http://schemas.openxmlformats.org/officeDocument/2006/relationships/font" Target="fonts/font11.odttf"/><Relationship Id="rId12" Type="http://schemas.openxmlformats.org/officeDocument/2006/relationships/font" Target="fonts/font12.odttf"/><Relationship Id="rId13" Type="http://schemas.openxmlformats.org/officeDocument/2006/relationships/font" Target="fonts/font13.odttf"/><Relationship Id="rId14" Type="http://schemas.openxmlformats.org/officeDocument/2006/relationships/font" Target="fonts/font14.odttf"/><Relationship Id="rId15" Type="http://schemas.openxmlformats.org/officeDocument/2006/relationships/font" Target="fonts/font15.odttf"/><Relationship Id="rId16" Type="http://schemas.openxmlformats.org/officeDocument/2006/relationships/font" Target="fonts/font16.odttf"/><Relationship Id="rId17" Type="http://schemas.openxmlformats.org/officeDocument/2006/relationships/font" Target="fonts/font17.odttf"/><Relationship Id="rId18" Type="http://schemas.openxmlformats.org/officeDocument/2006/relationships/font" Target="fonts/font18.odttf"/><Relationship Id="rId19" Type="http://schemas.openxmlformats.org/officeDocument/2006/relationships/font" Target="fonts/font19.odttf"/><Relationship Id="rId20" Type="http://schemas.openxmlformats.org/officeDocument/2006/relationships/font" Target="fonts/font20.odttf"/><Relationship Id="rId21" Type="http://schemas.openxmlformats.org/officeDocument/2006/relationships/font" Target="fonts/font21.odttf"/><Relationship Id="rId22" Type="http://schemas.openxmlformats.org/officeDocument/2006/relationships/font" Target="fonts/font22.odttf"/><Relationship Id="rId23" Type="http://schemas.openxmlformats.org/officeDocument/2006/relationships/font" Target="fonts/font23.odttf"/><Relationship Id="rId24" Type="http://schemas.openxmlformats.org/officeDocument/2006/relationships/font" Target="fonts/font24.odttf"/><Relationship Id="rId25" Type="http://schemas.openxmlformats.org/officeDocument/2006/relationships/font" Target="fonts/font25.odttf"/><Relationship Id="rId26" Type="http://schemas.openxmlformats.org/officeDocument/2006/relationships/font" Target="fonts/font26.odtt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TotalTime>
  <Application>LibreOffice/7.3.2.2$Windows_X86_64 LibreOffice_project/49f2b1bff42cfccbd8f788c8dc32c1c309559be0</Application>
  <AppVersion>15.0000</AppVersion>
  <Pages>5</Pages>
  <Words>1328</Words>
  <Characters>8344</Characters>
  <CharactersWithSpaces>9611</CharactersWithSpaces>
  <Paragraphs>66</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2025-03-14T07:56:00Z</dcterms:created>
  <dc:creator>Marija</dc:creator>
  <dc:description/>
  <dc:language>en-US</dc:language>
  <cp:lastModifiedBy/>
  <dcterms:modified xsi:type="dcterms:W3CDTF">2025-09-25T10:34:40Z</dcterms:modified>
  <cp:revision>5</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e6d5102827eacfcf2d2b4e6b70b4647de2891606e4acd5295d4457386899e1eb</vt:lpwstr>
  </property>
</Properties>
</file>